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15D6" w:rsidRPr="00023D4D" w:rsidRDefault="000C3F6F" w:rsidP="00A5162B">
      <w:pPr>
        <w:ind w:firstLine="720"/>
        <w:rPr>
          <w:b/>
          <w:lang w:val="ro-RO"/>
        </w:rPr>
      </w:pPr>
      <w:r w:rsidRPr="00023D4D">
        <w:rPr>
          <w:rFonts w:ascii="Georgia" w:hAnsi="Georgia"/>
          <w:bCs/>
          <w:sz w:val="40"/>
          <w:szCs w:val="20"/>
          <w:lang w:val="ro-RO"/>
        </w:rPr>
        <mc:AlternateContent>
          <mc:Choice Requires="wps">
            <w:drawing>
              <wp:anchor distT="0" distB="0" distL="114300" distR="114300" simplePos="0" relativeHeight="251658240" behindDoc="0" locked="0" layoutInCell="1" allowOverlap="1">
                <wp:simplePos x="0" y="0"/>
                <wp:positionH relativeFrom="page">
                  <wp:posOffset>1057869</wp:posOffset>
                </wp:positionH>
                <wp:positionV relativeFrom="paragraph">
                  <wp:posOffset>-27889</wp:posOffset>
                </wp:positionV>
                <wp:extent cx="0" cy="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bookmarkStart w:id="0" w:name="_MON_974180216"/>
                          <w:bookmarkStart w:id="1" w:name="_MON_974180247"/>
                          <w:bookmarkStart w:id="2" w:name="_MON_927378041"/>
                          <w:bookmarkStart w:id="3" w:name="_MON_927378092"/>
                          <w:bookmarkEnd w:id="0"/>
                          <w:bookmarkEnd w:id="1"/>
                          <w:bookmarkEnd w:id="2"/>
                          <w:bookmarkEnd w:id="3"/>
                          <w:bookmarkStart w:id="4" w:name="_MON_970405404"/>
                          <w:bookmarkEnd w:id="4"/>
                          <w:p w:rsidR="008E15D6" w:rsidRDefault="000C3F6F">
                            <w:pPr>
                              <w:jc w:val="both"/>
                            </w:pPr>
                            <w:r>
                              <w:rPr>
                                <w:rFonts w:ascii="Georgia" w:hAnsi="Georgia"/>
                                <w:lang w:val="ro-RO" w:eastAsia="ro-RO"/>
                              </w:rPr>
                              <w:object w:dxaOrig="1596" w:dyaOrig="1548" w14:anchorId="4AD06A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79.8pt;height:77.4pt;visibility:visible;mso-wrap-style:square" o:ole="">
                                  <v:imagedata r:id="rId6" o:title=""/>
                                </v:shape>
                                <o:OLEObject Type="Embed" ProgID="Word.Picture.8" ShapeID="Picture 1" DrawAspect="Content" ObjectID="_1558272702" r:id="rId7"/>
                              </w:object>
                            </w:r>
                          </w:p>
                        </w:txbxContent>
                      </wps:txbx>
                      <wps:bodyPr vert="horz" wrap="none" lIns="0" tIns="0" rIns="0" bIns="0" anchor="t" anchorCtr="0" compatLnSpc="0">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w16se="http://schemas.microsoft.com/office/word/2015/wordml/symex">
            <w:pict>
              <v:shapetype id="_x0000_t202" coordsize="21600,21600" o:spt="202" path="m,l,21600r21600,l21600,xe">
                <v:stroke joinstyle="miter"/>
                <v:path gradientshapeok="t" o:connecttype="rect"/>
              </v:shapetype>
              <v:shape id="Text Box 1" o:spid="_x0000_s1026" type="#_x0000_t202" style="position:absolute;left:0;text-align:left;margin-left:83.3pt;margin-top:-2.2pt;width:0;height:0;z-index:251658240;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" filled="f" stroked="f">
                <v:textbox style="mso-fit-shape-to-text:t" inset="0,0,0,0">
                  <w:txbxContent>
                    <w:bookmarkStart w:id="5" w:name="_MON_927378092"/>
                    <w:bookmarkStart w:id="6" w:name="_MON_970405404"/>
                    <w:bookmarkStart w:id="7" w:name="_MON_974180216"/>
                    <w:bookmarkStart w:id="8" w:name="_MON_974180247"/>
                    <w:bookmarkEnd w:id="5"/>
                    <w:bookmarkEnd w:id="6"/>
                    <w:bookmarkEnd w:id="7"/>
                    <w:bookmarkEnd w:id="8"/>
                    <w:bookmarkStart w:id="9" w:name="_MON_927378041"/>
                    <w:bookmarkEnd w:id="9"/>
                    <w:p w:rsidR="008E15D6" w:rsidRDefault="000C3F6F">
                      <w:pPr>
                        <w:jc w:val="both"/>
                      </w:pPr>
                      <w:r>
                        <w:rPr>
                          <w:rFonts w:ascii="Georgia" w:hAnsi="Georgia"/>
                          <w:lang w:val="ro-RO" w:eastAsia="ro-RO"/>
                        </w:rPr>
                        <w:object w:dxaOrig="1596" w:dyaOrig="1548" w14:anchorId="4AD06A60">
                          <v:shape id="Picture 1" o:spid="_x0000_i1026" type="#_x0000_t75" style="width:79.8pt;height:77.4pt;visibility:visible;mso-wrap-style:square">
                            <v:imagedata r:id="rId8" o:title=""/>
                          </v:shape>
                          <o:OLEObject Type="Embed" ProgID="Word.Picture.8" ShapeID="Picture 1" DrawAspect="Content" ObjectID="_1558271984" r:id="rId9"/>
                        </w:object>
                      </w:r>
                    </w:p>
                  </w:txbxContent>
                </v:textbox>
                <w10:wrap type="square" anchorx="page"/>
              </v:shape>
            </w:pict>
          </mc:Fallback>
        </mc:AlternateContent>
      </w:r>
      <w:r w:rsidR="00A5162B" w:rsidRPr="00023D4D">
        <w:rPr>
          <w:rFonts w:ascii="Georgia" w:hAnsi="Georgia"/>
          <w:bCs/>
          <w:sz w:val="40"/>
          <w:szCs w:val="20"/>
          <w:lang w:val="ro-RO"/>
        </w:rPr>
        <w:tab/>
      </w:r>
      <w:r w:rsidR="00A5162B" w:rsidRPr="00023D4D">
        <w:rPr>
          <w:rFonts w:ascii="Georgia" w:hAnsi="Georgia"/>
          <w:bCs/>
          <w:sz w:val="40"/>
          <w:szCs w:val="20"/>
          <w:lang w:val="ro-RO"/>
        </w:rPr>
        <w:tab/>
      </w:r>
      <w:r w:rsidRPr="00023D4D">
        <w:rPr>
          <w:rFonts w:ascii="Georgia" w:hAnsi="Georgia"/>
          <w:b/>
          <w:bCs/>
          <w:sz w:val="40"/>
          <w:szCs w:val="20"/>
          <w:lang w:val="ro-RO"/>
        </w:rPr>
        <w:t>R   O   M   Â   N   I   A</w:t>
      </w:r>
    </w:p>
    <w:p w:rsidR="008E15D6" w:rsidRPr="00023D4D" w:rsidRDefault="00A5162B" w:rsidP="00A5162B">
      <w:pPr>
        <w:rPr>
          <w:rFonts w:ascii="Georgia" w:hAnsi="Georgia"/>
          <w:b/>
          <w:sz w:val="36"/>
          <w:lang w:val="ro-RO"/>
        </w:rPr>
      </w:pPr>
      <w:r w:rsidRPr="00023D4D">
        <w:rPr>
          <w:rFonts w:ascii="Georgia" w:hAnsi="Georgia"/>
          <w:b/>
          <w:sz w:val="36"/>
          <w:lang w:val="ro-RO"/>
        </w:rPr>
        <w:tab/>
      </w:r>
      <w:r w:rsidRPr="00023D4D">
        <w:rPr>
          <w:rFonts w:ascii="Georgia" w:hAnsi="Georgia"/>
          <w:b/>
          <w:sz w:val="36"/>
          <w:lang w:val="ro-RO"/>
        </w:rPr>
        <w:tab/>
      </w:r>
      <w:r w:rsidR="000C3F6F" w:rsidRPr="00023D4D">
        <w:rPr>
          <w:rFonts w:ascii="Georgia" w:hAnsi="Georgia"/>
          <w:b/>
          <w:sz w:val="36"/>
          <w:lang w:val="ro-RO"/>
        </w:rPr>
        <w:t>CURTEA CONSTITUŢIONALĂ</w:t>
      </w:r>
    </w:p>
    <w:tbl>
      <w:tblPr>
        <w:tblW w:w="9038" w:type="dxa"/>
        <w:tblLayout w:type="fixed"/>
        <w:tblCellMar>
          <w:left w:w="10" w:type="dxa"/>
          <w:right w:w="10" w:type="dxa"/>
        </w:tblCellMar>
        <w:tblLook w:val="0000" w:firstRow="0" w:lastRow="0" w:firstColumn="0" w:lastColumn="0" w:noHBand="0" w:noVBand="0"/>
      </w:tblPr>
      <w:tblGrid>
        <w:gridCol w:w="9038"/>
      </w:tblGrid>
      <w:tr w:rsidR="008E15D6" w:rsidRPr="00023D4D">
        <w:trPr>
          <w:cantSplit/>
          <w:trHeight w:val="820"/>
        </w:trPr>
        <w:tc>
          <w:tcPr>
            <w:tcW w:w="9038" w:type="dxa"/>
            <w:tcBorders>
              <w:top w:val="single" w:sz="12" w:space="0" w:color="000000"/>
              <w:bottom w:val="single" w:sz="12" w:space="0" w:color="000000"/>
            </w:tcBorders>
            <w:shd w:val="clear" w:color="auto" w:fill="auto"/>
            <w:tcMar>
              <w:top w:w="0" w:type="dxa"/>
              <w:left w:w="108" w:type="dxa"/>
              <w:bottom w:w="0" w:type="dxa"/>
              <w:right w:w="108" w:type="dxa"/>
            </w:tcMar>
          </w:tcPr>
          <w:p w:rsidR="008E15D6" w:rsidRPr="00023D4D" w:rsidRDefault="000C3F6F">
            <w:pPr>
              <w:jc w:val="center"/>
              <w:rPr>
                <w:i/>
                <w:sz w:val="26"/>
                <w:lang w:val="ro-RO"/>
              </w:rPr>
            </w:pPr>
            <w:r w:rsidRPr="00023D4D">
              <w:rPr>
                <w:i/>
                <w:sz w:val="26"/>
                <w:lang w:val="ro-RO"/>
              </w:rPr>
              <w:t>Palatul Parlamentului</w:t>
            </w:r>
            <w:r w:rsidRPr="00023D4D">
              <w:rPr>
                <w:i/>
                <w:sz w:val="26"/>
                <w:lang w:val="ro-RO"/>
              </w:rPr>
              <w:br/>
              <w:t>Calea 13 Septembrie nr. 2, Intrarea B1, Sectorul 5, 050725  Bucureşti 40, România</w:t>
            </w:r>
          </w:p>
          <w:p w:rsidR="008E15D6" w:rsidRPr="00023D4D" w:rsidRDefault="000C3F6F">
            <w:pPr>
              <w:keepNext/>
              <w:jc w:val="center"/>
              <w:rPr>
                <w:i/>
                <w:sz w:val="26"/>
                <w:lang w:val="ro-RO"/>
              </w:rPr>
            </w:pPr>
            <w:r w:rsidRPr="00023D4D">
              <w:rPr>
                <w:i/>
                <w:sz w:val="26"/>
                <w:lang w:val="ro-RO"/>
              </w:rPr>
              <w:t>Telefon: (+40-21) 414-2121         Fax: (+40-21) 315-9164</w:t>
            </w:r>
          </w:p>
          <w:p w:rsidR="008E15D6" w:rsidRPr="00023D4D" w:rsidRDefault="008E15D6">
            <w:pPr>
              <w:jc w:val="center"/>
              <w:rPr>
                <w:rFonts w:ascii="Georgia" w:hAnsi="Georgia"/>
                <w:lang w:val="ro-RO"/>
              </w:rPr>
            </w:pPr>
          </w:p>
        </w:tc>
      </w:tr>
    </w:tbl>
    <w:p w:rsidR="008E15D6" w:rsidRPr="00023D4D" w:rsidRDefault="00A5162B">
      <w:pPr>
        <w:jc w:val="center"/>
        <w:rPr>
          <w:rFonts w:cs="Calibri"/>
          <w:sz w:val="28"/>
          <w:szCs w:val="28"/>
          <w:lang w:val="ro-RO"/>
        </w:rPr>
      </w:pPr>
      <w:r w:rsidRPr="00023D4D">
        <w:rPr>
          <w:rFonts w:cs="Calibri"/>
          <w:sz w:val="28"/>
          <w:szCs w:val="28"/>
          <w:lang w:val="ro-RO"/>
        </w:rPr>
        <w:tab/>
      </w:r>
      <w:r w:rsidRPr="00023D4D">
        <w:rPr>
          <w:rFonts w:cs="Calibri"/>
          <w:sz w:val="28"/>
          <w:szCs w:val="28"/>
          <w:lang w:val="ro-RO"/>
        </w:rPr>
        <w:tab/>
      </w:r>
      <w:r w:rsidRPr="00023D4D">
        <w:rPr>
          <w:rFonts w:cs="Calibri"/>
          <w:sz w:val="28"/>
          <w:szCs w:val="28"/>
          <w:lang w:val="ro-RO"/>
        </w:rPr>
        <w:tab/>
      </w:r>
      <w:r w:rsidRPr="00023D4D">
        <w:rPr>
          <w:rFonts w:cs="Calibri"/>
          <w:sz w:val="28"/>
          <w:szCs w:val="28"/>
          <w:lang w:val="ro-RO"/>
        </w:rPr>
        <w:tab/>
      </w:r>
      <w:r w:rsidRPr="00023D4D">
        <w:rPr>
          <w:rFonts w:cs="Calibri"/>
          <w:sz w:val="28"/>
          <w:szCs w:val="28"/>
          <w:lang w:val="ro-RO"/>
        </w:rPr>
        <w:tab/>
      </w:r>
      <w:r w:rsidRPr="00023D4D">
        <w:rPr>
          <w:rFonts w:cs="Calibri"/>
          <w:sz w:val="28"/>
          <w:szCs w:val="28"/>
          <w:lang w:val="ro-RO"/>
        </w:rPr>
        <w:tab/>
      </w:r>
      <w:r w:rsidRPr="00023D4D">
        <w:rPr>
          <w:rFonts w:cs="Calibri"/>
          <w:sz w:val="28"/>
          <w:szCs w:val="28"/>
          <w:lang w:val="ro-RO"/>
        </w:rPr>
        <w:tab/>
      </w:r>
      <w:r w:rsidRPr="00023D4D">
        <w:rPr>
          <w:rFonts w:cs="Calibri"/>
          <w:sz w:val="28"/>
          <w:szCs w:val="28"/>
          <w:lang w:val="ro-RO"/>
        </w:rPr>
        <w:tab/>
      </w:r>
      <w:r w:rsidRPr="00023D4D">
        <w:rPr>
          <w:rFonts w:cs="Calibri"/>
          <w:sz w:val="28"/>
          <w:szCs w:val="28"/>
          <w:lang w:val="ro-RO"/>
        </w:rPr>
        <w:tab/>
      </w:r>
      <w:r w:rsidRPr="00023D4D">
        <w:rPr>
          <w:rFonts w:cs="Calibri"/>
          <w:sz w:val="28"/>
          <w:szCs w:val="28"/>
          <w:lang w:val="ro-RO"/>
        </w:rPr>
        <w:tab/>
      </w:r>
      <w:r w:rsidR="009C2B9A" w:rsidRPr="00023D4D">
        <w:rPr>
          <w:rFonts w:cs="Calibri"/>
          <w:sz w:val="28"/>
          <w:szCs w:val="28"/>
          <w:lang w:val="ro-RO"/>
        </w:rPr>
        <w:t xml:space="preserve">6 iunie </w:t>
      </w:r>
      <w:r w:rsidR="000C3F6F" w:rsidRPr="00023D4D">
        <w:rPr>
          <w:rFonts w:cs="Calibri"/>
          <w:sz w:val="28"/>
          <w:szCs w:val="28"/>
          <w:lang w:val="ro-RO"/>
        </w:rPr>
        <w:t>2017</w:t>
      </w:r>
    </w:p>
    <w:p w:rsidR="008E15D6" w:rsidRPr="00023D4D" w:rsidRDefault="008E15D6">
      <w:pPr>
        <w:spacing w:line="360" w:lineRule="auto"/>
        <w:ind w:firstLine="630"/>
        <w:jc w:val="both"/>
        <w:rPr>
          <w:sz w:val="28"/>
          <w:szCs w:val="28"/>
          <w:lang w:val="ro-RO"/>
        </w:rPr>
      </w:pPr>
    </w:p>
    <w:p w:rsidR="0002490F" w:rsidRPr="00023D4D" w:rsidRDefault="0002490F">
      <w:pPr>
        <w:spacing w:line="360" w:lineRule="auto"/>
        <w:ind w:firstLine="630"/>
        <w:jc w:val="both"/>
        <w:rPr>
          <w:sz w:val="32"/>
          <w:szCs w:val="32"/>
          <w:lang w:val="ro-RO"/>
        </w:rPr>
      </w:pPr>
    </w:p>
    <w:p w:rsidR="008E15D6" w:rsidRPr="00023D4D" w:rsidRDefault="000C3F6F">
      <w:pPr>
        <w:spacing w:line="360" w:lineRule="auto"/>
        <w:ind w:firstLine="630"/>
        <w:jc w:val="center"/>
        <w:rPr>
          <w:b/>
          <w:sz w:val="32"/>
          <w:szCs w:val="32"/>
          <w:lang w:val="ro-RO"/>
        </w:rPr>
      </w:pPr>
      <w:r w:rsidRPr="00023D4D">
        <w:rPr>
          <w:b/>
          <w:sz w:val="32"/>
          <w:szCs w:val="32"/>
          <w:lang w:val="ro-RO"/>
        </w:rPr>
        <w:t>COMUNICAT DE PRESĂ</w:t>
      </w:r>
    </w:p>
    <w:p w:rsidR="008E15D6" w:rsidRPr="00023D4D" w:rsidRDefault="008E15D6">
      <w:pPr>
        <w:spacing w:line="360" w:lineRule="auto"/>
        <w:ind w:firstLine="630"/>
        <w:jc w:val="center"/>
        <w:rPr>
          <w:sz w:val="28"/>
          <w:szCs w:val="28"/>
          <w:lang w:val="ro-RO"/>
        </w:rPr>
      </w:pPr>
    </w:p>
    <w:p w:rsidR="005D20BF" w:rsidRPr="00023D4D" w:rsidRDefault="009C2B9A" w:rsidP="00D46443">
      <w:pPr>
        <w:spacing w:line="360" w:lineRule="auto"/>
        <w:ind w:firstLine="720"/>
        <w:jc w:val="both"/>
        <w:rPr>
          <w:spacing w:val="-4"/>
          <w:sz w:val="28"/>
          <w:szCs w:val="28"/>
          <w:lang w:val="ro-RO"/>
        </w:rPr>
      </w:pPr>
      <w:r w:rsidRPr="00023D4D">
        <w:rPr>
          <w:sz w:val="28"/>
          <w:szCs w:val="28"/>
          <w:lang w:val="ro-RO"/>
        </w:rPr>
        <w:t xml:space="preserve">În ziua de 6 iunie </w:t>
      </w:r>
      <w:r w:rsidR="00B44B18" w:rsidRPr="00023D4D">
        <w:rPr>
          <w:sz w:val="28"/>
          <w:szCs w:val="28"/>
          <w:lang w:val="ro-RO"/>
        </w:rPr>
        <w:t xml:space="preserve">2017, </w:t>
      </w:r>
      <w:r w:rsidR="00B44B18" w:rsidRPr="00023D4D">
        <w:rPr>
          <w:rFonts w:eastAsia="Calibri"/>
          <w:sz w:val="28"/>
          <w:szCs w:val="28"/>
          <w:lang w:val="ro-RO"/>
        </w:rPr>
        <w:t>Plenul Curții Constituționale, învestit în temeiul dispozițiilor art.146 lit.d) din Constituție</w:t>
      </w:r>
      <w:r w:rsidR="008C7592" w:rsidRPr="00023D4D">
        <w:rPr>
          <w:rFonts w:eastAsia="Calibri"/>
          <w:sz w:val="28"/>
          <w:szCs w:val="28"/>
          <w:lang w:val="ro-RO"/>
        </w:rPr>
        <w:t>,</w:t>
      </w:r>
      <w:r w:rsidR="00B44B18" w:rsidRPr="00023D4D">
        <w:rPr>
          <w:rFonts w:eastAsia="Calibri"/>
          <w:sz w:val="28"/>
          <w:szCs w:val="28"/>
          <w:lang w:val="ro-RO"/>
        </w:rPr>
        <w:t xml:space="preserve"> a</w:t>
      </w:r>
      <w:r w:rsidR="00F05413" w:rsidRPr="00023D4D">
        <w:rPr>
          <w:rFonts w:eastAsia="Calibri"/>
          <w:sz w:val="28"/>
          <w:szCs w:val="28"/>
          <w:lang w:val="ro-RO"/>
        </w:rPr>
        <w:t>le</w:t>
      </w:r>
      <w:r w:rsidR="008C7592" w:rsidRPr="00023D4D">
        <w:rPr>
          <w:rFonts w:eastAsia="Calibri"/>
          <w:sz w:val="28"/>
          <w:szCs w:val="28"/>
          <w:lang w:val="ro-RO"/>
        </w:rPr>
        <w:t xml:space="preserve"> art.11 alin.(1) pct.A lit.d) și </w:t>
      </w:r>
      <w:r w:rsidR="00B44B18" w:rsidRPr="00023D4D">
        <w:rPr>
          <w:sz w:val="28"/>
          <w:szCs w:val="28"/>
          <w:lang w:val="ro-RO"/>
        </w:rPr>
        <w:t>ale art.29 din Legea nr.47/1992 privind organizarea şi funcţionarea Curţii Constituţionale, a luat în dezbatere excepția de neconstituţionali</w:t>
      </w:r>
      <w:r w:rsidR="008C7592" w:rsidRPr="00023D4D">
        <w:rPr>
          <w:sz w:val="28"/>
          <w:szCs w:val="28"/>
          <w:lang w:val="ro-RO"/>
        </w:rPr>
        <w:t>tate a dispoziţiilor art.248</w:t>
      </w:r>
      <w:r w:rsidR="00B44B18" w:rsidRPr="00023D4D">
        <w:rPr>
          <w:sz w:val="28"/>
          <w:szCs w:val="28"/>
          <w:lang w:val="ro-RO"/>
        </w:rPr>
        <w:t xml:space="preserve"> din Codul penal din 1969, ale art. 297 alin. (1) din Codul penal şi ale art. 13</w:t>
      </w:r>
      <w:r w:rsidR="00B44B18" w:rsidRPr="00023D4D">
        <w:rPr>
          <w:sz w:val="28"/>
          <w:szCs w:val="28"/>
          <w:vertAlign w:val="superscript"/>
          <w:lang w:val="ro-RO"/>
        </w:rPr>
        <w:t>2</w:t>
      </w:r>
      <w:r w:rsidR="00B44B18" w:rsidRPr="00023D4D">
        <w:rPr>
          <w:sz w:val="28"/>
          <w:szCs w:val="28"/>
          <w:lang w:val="ro-RO"/>
        </w:rPr>
        <w:t xml:space="preserve"> din Legea nr. 78/2000 pentru prevenirea, descoperirea şi sancţionarea faptelor de corupţie</w:t>
      </w:r>
      <w:r w:rsidR="00C95BA8" w:rsidRPr="00023D4D">
        <w:rPr>
          <w:sz w:val="28"/>
          <w:szCs w:val="28"/>
          <w:lang w:val="ro-RO"/>
        </w:rPr>
        <w:t>.</w:t>
      </w:r>
      <w:r w:rsidR="00B44B18" w:rsidRPr="00023D4D">
        <w:rPr>
          <w:spacing w:val="-4"/>
          <w:sz w:val="28"/>
          <w:szCs w:val="28"/>
          <w:lang w:val="ro-RO"/>
        </w:rPr>
        <w:t xml:space="preserve"> </w:t>
      </w:r>
    </w:p>
    <w:p w:rsidR="00D46443" w:rsidRPr="00023D4D" w:rsidRDefault="00D46443" w:rsidP="00D46443">
      <w:pPr>
        <w:spacing w:line="360" w:lineRule="auto"/>
        <w:ind w:firstLine="720"/>
        <w:jc w:val="both"/>
        <w:rPr>
          <w:spacing w:val="-4"/>
          <w:sz w:val="28"/>
          <w:szCs w:val="28"/>
          <w:lang w:val="ro-RO"/>
        </w:rPr>
      </w:pPr>
      <w:r w:rsidRPr="00023D4D">
        <w:rPr>
          <w:spacing w:val="-4"/>
          <w:sz w:val="28"/>
          <w:szCs w:val="28"/>
          <w:lang w:val="ro-RO"/>
        </w:rPr>
        <w:t xml:space="preserve">Dispoziţiile criticate au următorul conţinut: </w:t>
      </w:r>
    </w:p>
    <w:p w:rsidR="00D46443" w:rsidRPr="00023D4D" w:rsidRDefault="00D46443" w:rsidP="0002490F">
      <w:pPr>
        <w:suppressAutoHyphens w:val="0"/>
        <w:autoSpaceDE w:val="0"/>
        <w:adjustRightInd w:val="0"/>
        <w:spacing w:line="360" w:lineRule="auto"/>
        <w:jc w:val="both"/>
        <w:textAlignment w:val="auto"/>
        <w:rPr>
          <w:rFonts w:eastAsia="Calibri"/>
          <w:bCs/>
          <w:i/>
          <w:sz w:val="28"/>
          <w:szCs w:val="28"/>
          <w:lang w:val="ro-RO"/>
        </w:rPr>
      </w:pPr>
      <w:r w:rsidRPr="00023D4D">
        <w:rPr>
          <w:rFonts w:eastAsia="Calibri"/>
          <w:sz w:val="28"/>
          <w:szCs w:val="28"/>
          <w:lang w:val="ro-RO"/>
        </w:rPr>
        <w:t xml:space="preserve">- Art.248 din Codul penal din 1969: </w:t>
      </w:r>
      <w:r w:rsidR="00C95BA8" w:rsidRPr="00023D4D">
        <w:rPr>
          <w:rFonts w:eastAsia="Calibri"/>
          <w:bCs/>
          <w:i/>
          <w:sz w:val="28"/>
          <w:szCs w:val="28"/>
          <w:lang w:val="ro-RO"/>
        </w:rPr>
        <w:t>„Fapta func</w:t>
      </w:r>
      <w:r w:rsidRPr="00023D4D">
        <w:rPr>
          <w:rFonts w:eastAsia="Calibri"/>
          <w:bCs/>
          <w:i/>
          <w:sz w:val="28"/>
          <w:szCs w:val="28"/>
          <w:lang w:val="ro-RO"/>
        </w:rPr>
        <w:t>ţionarului public, care, în</w:t>
      </w:r>
      <w:r w:rsidR="0002490F" w:rsidRPr="00023D4D">
        <w:rPr>
          <w:rFonts w:eastAsia="Calibri"/>
          <w:bCs/>
          <w:i/>
          <w:sz w:val="28"/>
          <w:szCs w:val="28"/>
          <w:lang w:val="ro-RO"/>
        </w:rPr>
        <w:t xml:space="preserve"> </w:t>
      </w:r>
      <w:r w:rsidRPr="00023D4D">
        <w:rPr>
          <w:rFonts w:eastAsia="Calibri"/>
          <w:bCs/>
          <w:i/>
          <w:sz w:val="28"/>
          <w:szCs w:val="28"/>
          <w:lang w:val="ro-RO"/>
        </w:rPr>
        <w:t>exerciţiul atribuţiilor sale de serviciu,</w:t>
      </w:r>
      <w:r w:rsidR="000903AC" w:rsidRPr="00023D4D">
        <w:rPr>
          <w:rFonts w:eastAsia="Calibri"/>
          <w:bCs/>
          <w:i/>
          <w:sz w:val="28"/>
          <w:szCs w:val="28"/>
          <w:lang w:val="ro-RO"/>
        </w:rPr>
        <w:t xml:space="preserve"> cu ș</w:t>
      </w:r>
      <w:r w:rsidRPr="00023D4D">
        <w:rPr>
          <w:rFonts w:eastAsia="Calibri"/>
          <w:bCs/>
          <w:i/>
          <w:sz w:val="28"/>
          <w:szCs w:val="28"/>
          <w:lang w:val="ro-RO"/>
        </w:rPr>
        <w:t>tiinţă, nu îndeplineşte un act ori îl</w:t>
      </w:r>
      <w:r w:rsidR="0002490F" w:rsidRPr="00023D4D">
        <w:rPr>
          <w:rFonts w:eastAsia="Calibri"/>
          <w:bCs/>
          <w:i/>
          <w:sz w:val="28"/>
          <w:szCs w:val="28"/>
          <w:lang w:val="ro-RO"/>
        </w:rPr>
        <w:t xml:space="preserve"> </w:t>
      </w:r>
      <w:r w:rsidRPr="00023D4D">
        <w:rPr>
          <w:rFonts w:eastAsia="Calibri"/>
          <w:bCs/>
          <w:i/>
          <w:sz w:val="28"/>
          <w:szCs w:val="28"/>
          <w:lang w:val="ro-RO"/>
        </w:rPr>
        <w:t xml:space="preserve">îndeplineşte în mod defectuos şi prin aceasta cauzează o tulburare însemnată bunului mers al </w:t>
      </w:r>
      <w:r w:rsidR="0002490F" w:rsidRPr="00023D4D">
        <w:rPr>
          <w:rFonts w:eastAsia="Calibri"/>
          <w:bCs/>
          <w:i/>
          <w:sz w:val="28"/>
          <w:szCs w:val="28"/>
          <w:lang w:val="ro-RO"/>
        </w:rPr>
        <w:t>unui organ sau al unei instituţii</w:t>
      </w:r>
      <w:r w:rsidRPr="00023D4D">
        <w:rPr>
          <w:rFonts w:eastAsia="Calibri"/>
          <w:bCs/>
          <w:i/>
          <w:sz w:val="28"/>
          <w:szCs w:val="28"/>
          <w:lang w:val="ro-RO"/>
        </w:rPr>
        <w:t xml:space="preserve"> de stat ori a</w:t>
      </w:r>
      <w:r w:rsidR="0002490F" w:rsidRPr="00023D4D">
        <w:rPr>
          <w:rFonts w:eastAsia="Calibri"/>
          <w:bCs/>
          <w:i/>
          <w:sz w:val="28"/>
          <w:szCs w:val="28"/>
          <w:lang w:val="ro-RO"/>
        </w:rPr>
        <w:t>l unei alte unităţ</w:t>
      </w:r>
      <w:r w:rsidRPr="00023D4D">
        <w:rPr>
          <w:rFonts w:eastAsia="Calibri"/>
          <w:bCs/>
          <w:i/>
          <w:sz w:val="28"/>
          <w:szCs w:val="28"/>
          <w:lang w:val="ro-RO"/>
        </w:rPr>
        <w:t>i din</w:t>
      </w:r>
      <w:r w:rsidR="0002490F" w:rsidRPr="00023D4D">
        <w:rPr>
          <w:rFonts w:eastAsia="Calibri"/>
          <w:bCs/>
          <w:i/>
          <w:sz w:val="28"/>
          <w:szCs w:val="28"/>
          <w:lang w:val="ro-RO"/>
        </w:rPr>
        <w:t xml:space="preserve"> cele la care se referă art. 145 sau o pagubă</w:t>
      </w:r>
      <w:r w:rsidRPr="00023D4D">
        <w:rPr>
          <w:rFonts w:eastAsia="Calibri"/>
          <w:bCs/>
          <w:i/>
          <w:sz w:val="28"/>
          <w:szCs w:val="28"/>
          <w:lang w:val="ro-RO"/>
        </w:rPr>
        <w:t xml:space="preserve"> pa</w:t>
      </w:r>
      <w:r w:rsidR="0002490F" w:rsidRPr="00023D4D">
        <w:rPr>
          <w:rFonts w:eastAsia="Calibri"/>
          <w:bCs/>
          <w:i/>
          <w:sz w:val="28"/>
          <w:szCs w:val="28"/>
          <w:lang w:val="ro-RO"/>
        </w:rPr>
        <w:t>trimoniului acesteia se pedepseş</w:t>
      </w:r>
      <w:r w:rsidRPr="00023D4D">
        <w:rPr>
          <w:rFonts w:eastAsia="Calibri"/>
          <w:bCs/>
          <w:i/>
          <w:sz w:val="28"/>
          <w:szCs w:val="28"/>
          <w:lang w:val="ro-RO"/>
        </w:rPr>
        <w:t>te cu</w:t>
      </w:r>
      <w:r w:rsidR="0002490F" w:rsidRPr="00023D4D">
        <w:rPr>
          <w:rFonts w:eastAsia="Calibri"/>
          <w:bCs/>
          <w:i/>
          <w:sz w:val="28"/>
          <w:szCs w:val="28"/>
          <w:lang w:val="ro-RO"/>
        </w:rPr>
        <w:t xml:space="preserve"> î</w:t>
      </w:r>
      <w:r w:rsidRPr="00023D4D">
        <w:rPr>
          <w:rFonts w:eastAsia="Calibri"/>
          <w:bCs/>
          <w:i/>
          <w:sz w:val="28"/>
          <w:szCs w:val="28"/>
          <w:lang w:val="ro-RO"/>
        </w:rPr>
        <w:t>nchisoare de la 6 luni la 5 ani. "</w:t>
      </w:r>
      <w:r w:rsidRPr="00023D4D">
        <w:rPr>
          <w:rFonts w:eastAsia="Calibri"/>
          <w:bCs/>
          <w:sz w:val="28"/>
          <w:szCs w:val="28"/>
          <w:lang w:val="ro-RO"/>
        </w:rPr>
        <w:t>;</w:t>
      </w:r>
    </w:p>
    <w:p w:rsidR="00D46443" w:rsidRPr="00023D4D" w:rsidRDefault="00D46443" w:rsidP="0002490F">
      <w:pPr>
        <w:suppressAutoHyphens w:val="0"/>
        <w:autoSpaceDE w:val="0"/>
        <w:adjustRightInd w:val="0"/>
        <w:spacing w:line="360" w:lineRule="auto"/>
        <w:jc w:val="both"/>
        <w:textAlignment w:val="auto"/>
        <w:rPr>
          <w:rFonts w:eastAsia="Calibri"/>
          <w:bCs/>
          <w:sz w:val="28"/>
          <w:szCs w:val="28"/>
          <w:lang w:val="ro-RO"/>
        </w:rPr>
      </w:pPr>
      <w:r w:rsidRPr="00023D4D">
        <w:rPr>
          <w:rFonts w:eastAsia="Calibri"/>
          <w:sz w:val="28"/>
          <w:szCs w:val="28"/>
          <w:lang w:val="ro-RO"/>
        </w:rPr>
        <w:t xml:space="preserve">- Art.297 alin.(l) din Codul penal: </w:t>
      </w:r>
      <w:r w:rsidRPr="00023D4D">
        <w:rPr>
          <w:rFonts w:eastAsia="Calibri"/>
          <w:bCs/>
          <w:i/>
          <w:sz w:val="28"/>
          <w:szCs w:val="28"/>
          <w:lang w:val="ro-RO"/>
        </w:rPr>
        <w:t>„</w:t>
      </w:r>
      <w:r w:rsidR="0002490F" w:rsidRPr="00023D4D">
        <w:rPr>
          <w:rFonts w:eastAsia="Calibri"/>
          <w:bCs/>
          <w:i/>
          <w:sz w:val="28"/>
          <w:szCs w:val="28"/>
          <w:lang w:val="ro-RO"/>
        </w:rPr>
        <w:t>Fapta funcţionarului public care, î</w:t>
      </w:r>
      <w:r w:rsidRPr="00023D4D">
        <w:rPr>
          <w:rFonts w:eastAsia="Calibri"/>
          <w:bCs/>
          <w:i/>
          <w:sz w:val="28"/>
          <w:szCs w:val="28"/>
          <w:lang w:val="ro-RO"/>
        </w:rPr>
        <w:t>n</w:t>
      </w:r>
      <w:r w:rsidR="0002490F" w:rsidRPr="00023D4D">
        <w:rPr>
          <w:rFonts w:eastAsia="Calibri"/>
          <w:bCs/>
          <w:i/>
          <w:sz w:val="28"/>
          <w:szCs w:val="28"/>
          <w:lang w:val="ro-RO"/>
        </w:rPr>
        <w:t xml:space="preserve"> exercitarea atribuţ</w:t>
      </w:r>
      <w:r w:rsidRPr="00023D4D">
        <w:rPr>
          <w:rFonts w:eastAsia="Calibri"/>
          <w:bCs/>
          <w:i/>
          <w:sz w:val="28"/>
          <w:szCs w:val="28"/>
          <w:lang w:val="ro-RO"/>
        </w:rPr>
        <w:t>iilor de serviciu</w:t>
      </w:r>
      <w:r w:rsidR="0002490F" w:rsidRPr="00023D4D">
        <w:rPr>
          <w:rFonts w:eastAsia="Calibri"/>
          <w:bCs/>
          <w:i/>
          <w:sz w:val="28"/>
          <w:szCs w:val="28"/>
          <w:lang w:val="ro-RO"/>
        </w:rPr>
        <w:t>, nu îndeplineşte un act sau îl indeplineşte î</w:t>
      </w:r>
      <w:r w:rsidRPr="00023D4D">
        <w:rPr>
          <w:rFonts w:eastAsia="Calibri"/>
          <w:bCs/>
          <w:i/>
          <w:sz w:val="28"/>
          <w:szCs w:val="28"/>
          <w:lang w:val="ro-RO"/>
        </w:rPr>
        <w:t>n mod</w:t>
      </w:r>
      <w:r w:rsidR="0002490F" w:rsidRPr="00023D4D">
        <w:rPr>
          <w:rFonts w:eastAsia="Calibri"/>
          <w:bCs/>
          <w:i/>
          <w:sz w:val="28"/>
          <w:szCs w:val="28"/>
          <w:lang w:val="ro-RO"/>
        </w:rPr>
        <w:t xml:space="preserve"> defectuos şi prin aceasta cauzează o pagubă ori o vătă</w:t>
      </w:r>
      <w:r w:rsidRPr="00023D4D">
        <w:rPr>
          <w:rFonts w:eastAsia="Calibri"/>
          <w:bCs/>
          <w:i/>
          <w:sz w:val="28"/>
          <w:szCs w:val="28"/>
          <w:lang w:val="ro-RO"/>
        </w:rPr>
        <w:t>mare a drepturilor sau</w:t>
      </w:r>
      <w:r w:rsidR="0002490F" w:rsidRPr="00023D4D">
        <w:rPr>
          <w:rFonts w:eastAsia="Calibri"/>
          <w:bCs/>
          <w:i/>
          <w:sz w:val="28"/>
          <w:szCs w:val="28"/>
          <w:lang w:val="ro-RO"/>
        </w:rPr>
        <w:t xml:space="preserve"> </w:t>
      </w:r>
      <w:r w:rsidRPr="00023D4D">
        <w:rPr>
          <w:rFonts w:eastAsia="Calibri"/>
          <w:bCs/>
          <w:i/>
          <w:sz w:val="28"/>
          <w:szCs w:val="28"/>
          <w:lang w:val="ro-RO"/>
        </w:rPr>
        <w:t>intereselor legitime ale unei persoane fizice sau ale unei persoane juridice se</w:t>
      </w:r>
      <w:r w:rsidR="0002490F" w:rsidRPr="00023D4D">
        <w:rPr>
          <w:rFonts w:eastAsia="Calibri"/>
          <w:bCs/>
          <w:i/>
          <w:sz w:val="28"/>
          <w:szCs w:val="28"/>
          <w:lang w:val="ro-RO"/>
        </w:rPr>
        <w:t xml:space="preserve"> pedepseşte cu î</w:t>
      </w:r>
      <w:r w:rsidRPr="00023D4D">
        <w:rPr>
          <w:rFonts w:eastAsia="Calibri"/>
          <w:bCs/>
          <w:i/>
          <w:sz w:val="28"/>
          <w:szCs w:val="28"/>
          <w:lang w:val="ro-RO"/>
        </w:rPr>
        <w:t>nchisoarea d</w:t>
      </w:r>
      <w:r w:rsidR="0002490F" w:rsidRPr="00023D4D">
        <w:rPr>
          <w:rFonts w:eastAsia="Calibri"/>
          <w:bCs/>
          <w:i/>
          <w:sz w:val="28"/>
          <w:szCs w:val="28"/>
          <w:lang w:val="ro-RO"/>
        </w:rPr>
        <w:t>e la 2 la 7 ani şi interzicerea exercită</w:t>
      </w:r>
      <w:r w:rsidRPr="00023D4D">
        <w:rPr>
          <w:rFonts w:eastAsia="Calibri"/>
          <w:bCs/>
          <w:i/>
          <w:sz w:val="28"/>
          <w:szCs w:val="28"/>
          <w:lang w:val="ro-RO"/>
        </w:rPr>
        <w:t>rii dreptului de a</w:t>
      </w:r>
      <w:r w:rsidR="0002490F" w:rsidRPr="00023D4D">
        <w:rPr>
          <w:rFonts w:eastAsia="Calibri"/>
          <w:bCs/>
          <w:i/>
          <w:sz w:val="28"/>
          <w:szCs w:val="28"/>
          <w:lang w:val="ro-RO"/>
        </w:rPr>
        <w:t xml:space="preserve"> </w:t>
      </w:r>
      <w:r w:rsidRPr="00023D4D">
        <w:rPr>
          <w:rFonts w:eastAsia="Calibri"/>
          <w:bCs/>
          <w:i/>
          <w:sz w:val="28"/>
          <w:szCs w:val="28"/>
          <w:lang w:val="ro-RO"/>
        </w:rPr>
        <w:t>ocupa o</w:t>
      </w:r>
      <w:r w:rsidR="0002490F" w:rsidRPr="00023D4D">
        <w:rPr>
          <w:rFonts w:eastAsia="Calibri"/>
          <w:bCs/>
          <w:i/>
          <w:sz w:val="28"/>
          <w:szCs w:val="28"/>
          <w:lang w:val="ro-RO"/>
        </w:rPr>
        <w:t xml:space="preserve"> funcţie publică</w:t>
      </w:r>
      <w:r w:rsidR="00B44B18" w:rsidRPr="00023D4D">
        <w:rPr>
          <w:rFonts w:eastAsia="Calibri"/>
          <w:bCs/>
          <w:i/>
          <w:sz w:val="28"/>
          <w:szCs w:val="28"/>
          <w:lang w:val="ro-RO"/>
        </w:rPr>
        <w:t>.</w:t>
      </w:r>
      <w:r w:rsidRPr="00023D4D">
        <w:rPr>
          <w:rFonts w:eastAsia="Calibri"/>
          <w:bCs/>
          <w:i/>
          <w:sz w:val="28"/>
          <w:szCs w:val="28"/>
          <w:lang w:val="ro-RO"/>
        </w:rPr>
        <w:t>"</w:t>
      </w:r>
      <w:r w:rsidRPr="00023D4D">
        <w:rPr>
          <w:rFonts w:eastAsia="Calibri"/>
          <w:bCs/>
          <w:sz w:val="28"/>
          <w:szCs w:val="28"/>
          <w:lang w:val="ro-RO"/>
        </w:rPr>
        <w:t>;</w:t>
      </w:r>
    </w:p>
    <w:p w:rsidR="00D46443" w:rsidRPr="00023D4D" w:rsidRDefault="00D46443" w:rsidP="0002490F">
      <w:pPr>
        <w:suppressAutoHyphens w:val="0"/>
        <w:autoSpaceDE w:val="0"/>
        <w:adjustRightInd w:val="0"/>
        <w:spacing w:line="360" w:lineRule="auto"/>
        <w:jc w:val="both"/>
        <w:textAlignment w:val="auto"/>
        <w:rPr>
          <w:i/>
          <w:sz w:val="28"/>
          <w:szCs w:val="28"/>
          <w:lang w:val="ro-RO"/>
        </w:rPr>
      </w:pPr>
      <w:r w:rsidRPr="00023D4D">
        <w:rPr>
          <w:rFonts w:eastAsia="Calibri"/>
          <w:sz w:val="28"/>
          <w:szCs w:val="28"/>
          <w:lang w:val="ro-RO"/>
        </w:rPr>
        <w:lastRenderedPageBreak/>
        <w:t xml:space="preserve">- Art. 132 din Legea nr.78/2000: </w:t>
      </w:r>
      <w:r w:rsidRPr="00023D4D">
        <w:rPr>
          <w:rFonts w:eastAsia="Calibri"/>
          <w:bCs/>
          <w:i/>
          <w:sz w:val="28"/>
          <w:szCs w:val="28"/>
          <w:lang w:val="ro-RO"/>
        </w:rPr>
        <w:t>„</w:t>
      </w:r>
      <w:r w:rsidR="0002490F" w:rsidRPr="00023D4D">
        <w:rPr>
          <w:rFonts w:eastAsia="Calibri"/>
          <w:bCs/>
          <w:i/>
          <w:sz w:val="28"/>
          <w:szCs w:val="28"/>
          <w:lang w:val="ro-RO"/>
        </w:rPr>
        <w:t>În cazul infracţiunilor de abuz î</w:t>
      </w:r>
      <w:r w:rsidRPr="00023D4D">
        <w:rPr>
          <w:rFonts w:eastAsia="Calibri"/>
          <w:bCs/>
          <w:i/>
          <w:sz w:val="28"/>
          <w:szCs w:val="28"/>
          <w:lang w:val="ro-RO"/>
        </w:rPr>
        <w:t>n serviciu</w:t>
      </w:r>
      <w:r w:rsidR="0002490F" w:rsidRPr="00023D4D">
        <w:rPr>
          <w:rFonts w:eastAsia="Calibri"/>
          <w:bCs/>
          <w:i/>
          <w:sz w:val="28"/>
          <w:szCs w:val="28"/>
          <w:lang w:val="ro-RO"/>
        </w:rPr>
        <w:t xml:space="preserve"> </w:t>
      </w:r>
      <w:r w:rsidRPr="00023D4D">
        <w:rPr>
          <w:rFonts w:eastAsia="Calibri"/>
          <w:bCs/>
          <w:i/>
          <w:sz w:val="28"/>
          <w:szCs w:val="28"/>
          <w:lang w:val="ro-RO"/>
        </w:rPr>
        <w:t>sau de uzurpare a</w:t>
      </w:r>
      <w:r w:rsidR="0002490F" w:rsidRPr="00023D4D">
        <w:rPr>
          <w:rFonts w:eastAsia="Calibri"/>
          <w:bCs/>
          <w:i/>
          <w:sz w:val="28"/>
          <w:szCs w:val="28"/>
          <w:lang w:val="ro-RO"/>
        </w:rPr>
        <w:t xml:space="preserve"> funcţiei, dacă funcţionarul public a obţ</w:t>
      </w:r>
      <w:r w:rsidRPr="00023D4D">
        <w:rPr>
          <w:rFonts w:eastAsia="Calibri"/>
          <w:bCs/>
          <w:i/>
          <w:sz w:val="28"/>
          <w:szCs w:val="28"/>
          <w:lang w:val="ro-RO"/>
        </w:rPr>
        <w:t>inut</w:t>
      </w:r>
      <w:r w:rsidR="0002490F" w:rsidRPr="00023D4D">
        <w:rPr>
          <w:rFonts w:eastAsia="Calibri"/>
          <w:bCs/>
          <w:i/>
          <w:sz w:val="28"/>
          <w:szCs w:val="28"/>
          <w:lang w:val="ro-RO"/>
        </w:rPr>
        <w:t xml:space="preserve"> </w:t>
      </w:r>
      <w:r w:rsidRPr="00023D4D">
        <w:rPr>
          <w:rFonts w:eastAsia="Calibri"/>
          <w:bCs/>
          <w:i/>
          <w:sz w:val="28"/>
          <w:szCs w:val="28"/>
          <w:lang w:val="ro-RO"/>
        </w:rPr>
        <w:t>pentru sine ori pentru</w:t>
      </w:r>
      <w:r w:rsidR="0002490F" w:rsidRPr="00023D4D">
        <w:rPr>
          <w:rFonts w:eastAsia="Calibri"/>
          <w:bCs/>
          <w:i/>
          <w:sz w:val="28"/>
          <w:szCs w:val="28"/>
          <w:lang w:val="ro-RO"/>
        </w:rPr>
        <w:t xml:space="preserve"> </w:t>
      </w:r>
      <w:r w:rsidRPr="00023D4D">
        <w:rPr>
          <w:rFonts w:eastAsia="Calibri"/>
          <w:bCs/>
          <w:i/>
          <w:sz w:val="28"/>
          <w:szCs w:val="28"/>
          <w:lang w:val="ro-RO"/>
        </w:rPr>
        <w:t>altul un</w:t>
      </w:r>
      <w:r w:rsidR="0002490F" w:rsidRPr="00023D4D">
        <w:rPr>
          <w:rFonts w:eastAsia="Calibri"/>
          <w:bCs/>
          <w:i/>
          <w:sz w:val="28"/>
          <w:szCs w:val="28"/>
          <w:lang w:val="ro-RO"/>
        </w:rPr>
        <w:t xml:space="preserve"> </w:t>
      </w:r>
      <w:r w:rsidRPr="00023D4D">
        <w:rPr>
          <w:rFonts w:eastAsia="Calibri"/>
          <w:bCs/>
          <w:i/>
          <w:sz w:val="28"/>
          <w:szCs w:val="28"/>
          <w:lang w:val="ro-RO"/>
        </w:rPr>
        <w:t>folos necuvenit, limitele sp</w:t>
      </w:r>
      <w:r w:rsidR="0002490F" w:rsidRPr="00023D4D">
        <w:rPr>
          <w:rFonts w:eastAsia="Calibri"/>
          <w:bCs/>
          <w:i/>
          <w:sz w:val="28"/>
          <w:szCs w:val="28"/>
          <w:lang w:val="ro-RO"/>
        </w:rPr>
        <w:t>eciale ale pedepsei se majorează</w:t>
      </w:r>
      <w:r w:rsidRPr="00023D4D">
        <w:rPr>
          <w:rFonts w:eastAsia="Calibri"/>
          <w:bCs/>
          <w:i/>
          <w:sz w:val="28"/>
          <w:szCs w:val="28"/>
          <w:lang w:val="ro-RO"/>
        </w:rPr>
        <w:t xml:space="preserve"> cu o treime.</w:t>
      </w:r>
      <w:r w:rsidRPr="00023D4D">
        <w:rPr>
          <w:rFonts w:eastAsia="Calibri"/>
          <w:b/>
          <w:bCs/>
          <w:sz w:val="26"/>
          <w:szCs w:val="26"/>
          <w:lang w:val="ro-RO"/>
        </w:rPr>
        <w:t xml:space="preserve"> "</w:t>
      </w:r>
    </w:p>
    <w:p w:rsidR="00B44B18" w:rsidRPr="00023D4D" w:rsidRDefault="00B44B18" w:rsidP="00B44B18">
      <w:pPr>
        <w:spacing w:line="360" w:lineRule="auto"/>
        <w:ind w:firstLine="708"/>
        <w:jc w:val="both"/>
        <w:rPr>
          <w:rFonts w:eastAsia="Calibri"/>
          <w:sz w:val="28"/>
          <w:szCs w:val="28"/>
          <w:lang w:val="ro-RO"/>
        </w:rPr>
      </w:pPr>
      <w:r w:rsidRPr="00023D4D">
        <w:rPr>
          <w:rFonts w:eastAsia="Calibri"/>
          <w:sz w:val="28"/>
          <w:szCs w:val="28"/>
          <w:lang w:val="ro-RO"/>
        </w:rPr>
        <w:t>În urma deliberărilor, Curtea Constituțională</w:t>
      </w:r>
      <w:r w:rsidR="00B825F5" w:rsidRPr="00023D4D">
        <w:rPr>
          <w:rFonts w:eastAsia="Calibri"/>
          <w:sz w:val="28"/>
          <w:szCs w:val="28"/>
          <w:lang w:val="ro-RO"/>
        </w:rPr>
        <w:t>,</w:t>
      </w:r>
      <w:r w:rsidRPr="00023D4D">
        <w:rPr>
          <w:rFonts w:eastAsia="Calibri"/>
          <w:sz w:val="28"/>
          <w:szCs w:val="28"/>
          <w:lang w:val="ro-RO"/>
        </w:rPr>
        <w:t xml:space="preserve"> cu majoritate de voturi, a decis:</w:t>
      </w:r>
    </w:p>
    <w:p w:rsidR="00B44B18" w:rsidRPr="00023D4D" w:rsidRDefault="00EB256A" w:rsidP="00B44B18">
      <w:pPr>
        <w:spacing w:line="360" w:lineRule="auto"/>
        <w:jc w:val="both"/>
        <w:rPr>
          <w:rFonts w:eastAsia="Calibri"/>
          <w:sz w:val="28"/>
          <w:szCs w:val="28"/>
          <w:lang w:val="ro-RO"/>
        </w:rPr>
      </w:pPr>
      <w:r w:rsidRPr="00023D4D">
        <w:rPr>
          <w:rFonts w:eastAsia="Calibri"/>
          <w:sz w:val="28"/>
          <w:szCs w:val="28"/>
          <w:lang w:val="ro-RO"/>
        </w:rPr>
        <w:t xml:space="preserve">          </w:t>
      </w:r>
      <w:r w:rsidR="00B44B18" w:rsidRPr="00023D4D">
        <w:rPr>
          <w:rFonts w:eastAsia="Calibri"/>
          <w:sz w:val="28"/>
          <w:szCs w:val="28"/>
          <w:lang w:val="ro-RO"/>
        </w:rPr>
        <w:t xml:space="preserve">1. </w:t>
      </w:r>
      <w:r w:rsidR="00DD394C" w:rsidRPr="00023D4D">
        <w:rPr>
          <w:rFonts w:eastAsia="Calibri"/>
          <w:sz w:val="28"/>
          <w:szCs w:val="28"/>
          <w:lang w:val="ro-RO"/>
        </w:rPr>
        <w:t>A</w:t>
      </w:r>
      <w:r w:rsidR="00B44B18" w:rsidRPr="00023D4D">
        <w:rPr>
          <w:rFonts w:eastAsia="Calibri"/>
          <w:sz w:val="28"/>
          <w:szCs w:val="28"/>
          <w:lang w:val="ro-RO"/>
        </w:rPr>
        <w:t xml:space="preserve"> admis excepţia de neconstituţionalitate şi a constatat că dispoziţiile art.248 din Codul penal din 1969 sunt constituţionale în măsura în care prin sintagma "</w:t>
      </w:r>
      <w:r w:rsidR="00B44B18" w:rsidRPr="00023D4D">
        <w:rPr>
          <w:rFonts w:eastAsia="Calibri"/>
          <w:i/>
          <w:sz w:val="28"/>
          <w:szCs w:val="28"/>
          <w:lang w:val="ro-RO"/>
        </w:rPr>
        <w:t>îndeplineşte în mod defectuos</w:t>
      </w:r>
      <w:r w:rsidR="00B44B18" w:rsidRPr="00023D4D">
        <w:rPr>
          <w:rFonts w:eastAsia="Calibri"/>
          <w:sz w:val="28"/>
          <w:szCs w:val="28"/>
          <w:lang w:val="ro-RO"/>
        </w:rPr>
        <w:t>" din cuprinsul acestora se înţelege "</w:t>
      </w:r>
      <w:r w:rsidR="00B44B18" w:rsidRPr="00023D4D">
        <w:rPr>
          <w:rFonts w:eastAsia="Calibri"/>
          <w:i/>
          <w:sz w:val="28"/>
          <w:szCs w:val="28"/>
          <w:lang w:val="ro-RO"/>
        </w:rPr>
        <w:t>îndeplineşte prin încălcarea legii</w:t>
      </w:r>
      <w:r w:rsidR="00B44B18" w:rsidRPr="00023D4D">
        <w:rPr>
          <w:rFonts w:eastAsia="Calibri"/>
          <w:sz w:val="28"/>
          <w:szCs w:val="28"/>
          <w:lang w:val="ro-RO"/>
        </w:rPr>
        <w:t>";</w:t>
      </w:r>
    </w:p>
    <w:p w:rsidR="00B44B18" w:rsidRPr="00023D4D" w:rsidRDefault="00B44B18" w:rsidP="00F9093F">
      <w:pPr>
        <w:spacing w:line="360" w:lineRule="auto"/>
        <w:ind w:firstLine="720"/>
        <w:jc w:val="both"/>
        <w:rPr>
          <w:rFonts w:eastAsia="Calibri"/>
          <w:sz w:val="28"/>
          <w:szCs w:val="28"/>
          <w:lang w:val="ro-RO"/>
        </w:rPr>
      </w:pPr>
      <w:r w:rsidRPr="00023D4D">
        <w:rPr>
          <w:rFonts w:eastAsia="Calibri"/>
          <w:sz w:val="28"/>
          <w:szCs w:val="28"/>
          <w:lang w:val="ro-RO"/>
        </w:rPr>
        <w:t>2. A respins, ca inadmisibilă, excepția de neconstituționalitate a dispozițiilor art.297 alin.(1) din Codul penal;</w:t>
      </w:r>
    </w:p>
    <w:p w:rsidR="00B44B18" w:rsidRPr="00023D4D" w:rsidRDefault="00B44B18" w:rsidP="00F9093F">
      <w:pPr>
        <w:spacing w:line="360" w:lineRule="auto"/>
        <w:ind w:firstLine="720"/>
        <w:jc w:val="both"/>
        <w:rPr>
          <w:rFonts w:eastAsia="Calibri"/>
          <w:sz w:val="28"/>
          <w:szCs w:val="28"/>
          <w:lang w:val="ro-RO"/>
        </w:rPr>
      </w:pPr>
      <w:r w:rsidRPr="00023D4D">
        <w:rPr>
          <w:rFonts w:eastAsia="Calibri"/>
          <w:sz w:val="28"/>
          <w:szCs w:val="28"/>
          <w:lang w:val="ro-RO"/>
        </w:rPr>
        <w:t xml:space="preserve">3. A respins, ca neîntemeiată, excepţia de neconstituţionalitate şi </w:t>
      </w:r>
      <w:r w:rsidR="001A0CA9" w:rsidRPr="00023D4D">
        <w:rPr>
          <w:rFonts w:eastAsia="Calibri"/>
          <w:sz w:val="28"/>
          <w:szCs w:val="28"/>
          <w:lang w:val="ro-RO"/>
        </w:rPr>
        <w:t>a constatat</w:t>
      </w:r>
      <w:r w:rsidR="005F6FBE" w:rsidRPr="00023D4D">
        <w:rPr>
          <w:rFonts w:eastAsia="Calibri"/>
          <w:sz w:val="28"/>
          <w:szCs w:val="28"/>
          <w:lang w:val="ro-RO"/>
        </w:rPr>
        <w:t xml:space="preserve"> că dispoziţiile art.</w:t>
      </w:r>
      <w:r w:rsidRPr="00023D4D">
        <w:rPr>
          <w:rFonts w:eastAsia="Calibri"/>
          <w:sz w:val="28"/>
          <w:szCs w:val="28"/>
          <w:lang w:val="ro-RO"/>
        </w:rPr>
        <w:t>13</w:t>
      </w:r>
      <w:r w:rsidRPr="00023D4D">
        <w:rPr>
          <w:rFonts w:eastAsia="Calibri"/>
          <w:sz w:val="28"/>
          <w:szCs w:val="28"/>
          <w:vertAlign w:val="superscript"/>
          <w:lang w:val="ro-RO"/>
        </w:rPr>
        <w:t>2</w:t>
      </w:r>
      <w:r w:rsidRPr="00023D4D">
        <w:rPr>
          <w:rFonts w:eastAsia="Calibri"/>
          <w:sz w:val="28"/>
          <w:szCs w:val="28"/>
          <w:lang w:val="ro-RO"/>
        </w:rPr>
        <w:t xml:space="preserve"> din Legea nr. 78/2000 pentru prevenirea, descoperirea şi sancţionarea faptelor de corupţie sunt constituţionale în raport cu criticile formulate.</w:t>
      </w:r>
    </w:p>
    <w:p w:rsidR="00816AD6" w:rsidRPr="00023D4D" w:rsidRDefault="00B44B18" w:rsidP="00816AD6">
      <w:pPr>
        <w:spacing w:line="360" w:lineRule="auto"/>
        <w:ind w:firstLine="720"/>
        <w:jc w:val="both"/>
        <w:rPr>
          <w:rFonts w:eastAsia="Calibri"/>
          <w:sz w:val="28"/>
          <w:szCs w:val="28"/>
          <w:lang w:val="ro-RO"/>
        </w:rPr>
      </w:pPr>
      <w:r w:rsidRPr="00023D4D">
        <w:rPr>
          <w:rFonts w:eastAsia="Calibri"/>
          <w:sz w:val="28"/>
          <w:szCs w:val="28"/>
          <w:lang w:val="ro-RO"/>
        </w:rPr>
        <w:t xml:space="preserve">În argumentarea soluției </w:t>
      </w:r>
      <w:r w:rsidR="00816AD6" w:rsidRPr="00023D4D">
        <w:rPr>
          <w:rFonts w:eastAsia="Calibri"/>
          <w:sz w:val="28"/>
          <w:szCs w:val="28"/>
          <w:lang w:val="ro-RO"/>
        </w:rPr>
        <w:t xml:space="preserve">de admitere pronunțate în privința dispozițiilor </w:t>
      </w:r>
      <w:r w:rsidR="00816AD6" w:rsidRPr="00023D4D">
        <w:rPr>
          <w:rFonts w:eastAsia="Calibri"/>
          <w:sz w:val="28"/>
          <w:szCs w:val="28"/>
          <w:u w:val="single"/>
          <w:lang w:val="ro-RO"/>
        </w:rPr>
        <w:t>art.248 din Codul penal din 1969</w:t>
      </w:r>
      <w:r w:rsidR="00816AD6" w:rsidRPr="00023D4D">
        <w:rPr>
          <w:rFonts w:eastAsia="Calibri"/>
          <w:sz w:val="28"/>
          <w:szCs w:val="28"/>
          <w:lang w:val="ro-RO"/>
        </w:rPr>
        <w:t xml:space="preserve">, Curtea a aplicat, </w:t>
      </w:r>
      <w:r w:rsidR="00816AD6" w:rsidRPr="00023D4D">
        <w:rPr>
          <w:rFonts w:eastAsia="Calibri"/>
          <w:i/>
          <w:sz w:val="28"/>
          <w:szCs w:val="28"/>
          <w:lang w:val="ro-RO"/>
        </w:rPr>
        <w:t>mutatis mutandis</w:t>
      </w:r>
      <w:r w:rsidR="00816AD6" w:rsidRPr="00023D4D">
        <w:rPr>
          <w:rFonts w:eastAsia="Calibri"/>
          <w:sz w:val="28"/>
          <w:szCs w:val="28"/>
          <w:lang w:val="ro-RO"/>
        </w:rPr>
        <w:t>, considerentele ce au stat la baza pronunțării Deciziei</w:t>
      </w:r>
      <w:r w:rsidR="00A618DC" w:rsidRPr="00023D4D">
        <w:rPr>
          <w:rFonts w:eastAsia="Calibri"/>
          <w:sz w:val="28"/>
          <w:szCs w:val="28"/>
          <w:lang w:val="ro-RO"/>
        </w:rPr>
        <w:t xml:space="preserve"> nr.405</w:t>
      </w:r>
      <w:r w:rsidR="00816AD6" w:rsidRPr="00023D4D">
        <w:rPr>
          <w:rFonts w:eastAsia="Calibri"/>
          <w:sz w:val="28"/>
          <w:szCs w:val="28"/>
          <w:lang w:val="ro-RO"/>
        </w:rPr>
        <w:t xml:space="preserve"> din 15 iunie 2016, publicată în Monitorul Oficial al României, Partea I, nr.517 din 8 iulie 2016, prin care a constatat că dispoziţiile art. 246 din</w:t>
      </w:r>
      <w:r w:rsidR="00816AD6" w:rsidRPr="00023D4D">
        <w:rPr>
          <w:rFonts w:eastAsia="Calibri"/>
          <w:b/>
          <w:color w:val="000000" w:themeColor="text1"/>
          <w:sz w:val="28"/>
          <w:szCs w:val="28"/>
          <w:lang w:val="ro-RO"/>
        </w:rPr>
        <w:t xml:space="preserve"> </w:t>
      </w:r>
      <w:hyperlink r:id="rId10" w:tooltip="ABROGATA - CODUL PENAL - Republicare (act publicat in M.Of. 65 din 16-apr-1997)" w:history="1">
        <w:r w:rsidR="00816AD6" w:rsidRPr="00023D4D">
          <w:rPr>
            <w:rStyle w:val="Hyperlink"/>
            <w:rFonts w:eastAsia="Calibri"/>
            <w:b w:val="0"/>
            <w:color w:val="000000" w:themeColor="text1"/>
            <w:sz w:val="28"/>
            <w:szCs w:val="28"/>
            <w:u w:val="none"/>
            <w:lang w:val="ro-RO"/>
          </w:rPr>
          <w:t>Codul penal din 1969</w:t>
        </w:r>
      </w:hyperlink>
      <w:r w:rsidR="00816AD6" w:rsidRPr="00023D4D">
        <w:rPr>
          <w:rFonts w:eastAsia="Calibri"/>
          <w:sz w:val="28"/>
          <w:szCs w:val="28"/>
          <w:lang w:val="ro-RO"/>
        </w:rPr>
        <w:t xml:space="preserve"> şi ale art. 297 alin. (1) din </w:t>
      </w:r>
      <w:hyperlink r:id="rId11" w:history="1">
        <w:r w:rsidR="00816AD6" w:rsidRPr="00023D4D">
          <w:rPr>
            <w:rStyle w:val="Hyperlink"/>
            <w:rFonts w:eastAsia="Calibri"/>
            <w:b w:val="0"/>
            <w:color w:val="000000" w:themeColor="text1"/>
            <w:sz w:val="28"/>
            <w:szCs w:val="28"/>
            <w:u w:val="none"/>
            <w:lang w:val="ro-RO"/>
          </w:rPr>
          <w:t>Codul penal</w:t>
        </w:r>
      </w:hyperlink>
      <w:r w:rsidR="00816AD6" w:rsidRPr="00023D4D">
        <w:rPr>
          <w:rFonts w:eastAsia="Calibri"/>
          <w:sz w:val="28"/>
          <w:szCs w:val="28"/>
          <w:lang w:val="ro-RO"/>
        </w:rPr>
        <w:t xml:space="preserve"> sunt constituţionale în măsura în care prin sintagma "</w:t>
      </w:r>
      <w:r w:rsidR="00816AD6" w:rsidRPr="00023D4D">
        <w:rPr>
          <w:rFonts w:eastAsia="Calibri"/>
          <w:i/>
          <w:sz w:val="28"/>
          <w:szCs w:val="28"/>
          <w:lang w:val="ro-RO"/>
        </w:rPr>
        <w:t>îndeplineşte în mod defectuos</w:t>
      </w:r>
      <w:r w:rsidR="00816AD6" w:rsidRPr="00023D4D">
        <w:rPr>
          <w:rFonts w:eastAsia="Calibri"/>
          <w:sz w:val="28"/>
          <w:szCs w:val="28"/>
          <w:lang w:val="ro-RO"/>
        </w:rPr>
        <w:t>" din cuprinsul acestora se înţelege "</w:t>
      </w:r>
      <w:r w:rsidR="00816AD6" w:rsidRPr="00023D4D">
        <w:rPr>
          <w:rFonts w:eastAsia="Calibri"/>
          <w:i/>
          <w:sz w:val="28"/>
          <w:szCs w:val="28"/>
          <w:lang w:val="ro-RO"/>
        </w:rPr>
        <w:t>îndeplineşte prin încălcarea legii</w:t>
      </w:r>
      <w:r w:rsidR="00816AD6" w:rsidRPr="00023D4D">
        <w:rPr>
          <w:rFonts w:eastAsia="Calibri"/>
          <w:sz w:val="28"/>
          <w:szCs w:val="28"/>
          <w:lang w:val="ro-RO"/>
        </w:rPr>
        <w:t xml:space="preserve">".  Prin urmare, Curtea a reținut </w:t>
      </w:r>
      <w:r w:rsidRPr="00023D4D">
        <w:rPr>
          <w:rFonts w:eastAsia="Calibri"/>
          <w:sz w:val="28"/>
          <w:szCs w:val="28"/>
          <w:lang w:val="ro-RO"/>
        </w:rPr>
        <w:t>că dispoziţiile art.248 din Codul penal din 1969</w:t>
      </w:r>
      <w:r w:rsidR="00816AD6" w:rsidRPr="00023D4D">
        <w:rPr>
          <w:rFonts w:eastAsia="Calibri"/>
          <w:sz w:val="28"/>
          <w:szCs w:val="28"/>
          <w:lang w:val="ro-RO"/>
        </w:rPr>
        <w:t xml:space="preserve"> </w:t>
      </w:r>
      <w:r w:rsidRPr="00023D4D">
        <w:rPr>
          <w:rFonts w:eastAsia="Calibri"/>
          <w:sz w:val="28"/>
          <w:szCs w:val="28"/>
          <w:lang w:val="ro-RO"/>
        </w:rPr>
        <w:t>încal</w:t>
      </w:r>
      <w:r w:rsidR="002F4C8E" w:rsidRPr="00023D4D">
        <w:rPr>
          <w:rFonts w:eastAsia="Calibri"/>
          <w:sz w:val="28"/>
          <w:szCs w:val="28"/>
          <w:lang w:val="ro-RO"/>
        </w:rPr>
        <w:t>că prevederile art.1 alin.</w:t>
      </w:r>
      <w:r w:rsidRPr="00023D4D">
        <w:rPr>
          <w:rFonts w:eastAsia="Calibri"/>
          <w:sz w:val="28"/>
          <w:szCs w:val="28"/>
          <w:lang w:val="ro-RO"/>
        </w:rPr>
        <w:t>(5) din Constituţie</w:t>
      </w:r>
      <w:r w:rsidR="008523F2" w:rsidRPr="00023D4D">
        <w:rPr>
          <w:rFonts w:eastAsia="Calibri"/>
          <w:sz w:val="28"/>
          <w:szCs w:val="28"/>
          <w:lang w:val="ro-RO"/>
        </w:rPr>
        <w:t>,</w:t>
      </w:r>
      <w:r w:rsidRPr="00023D4D">
        <w:rPr>
          <w:rFonts w:eastAsia="Calibri"/>
          <w:sz w:val="28"/>
          <w:szCs w:val="28"/>
          <w:lang w:val="ro-RO"/>
        </w:rPr>
        <w:t xml:space="preserve"> </w:t>
      </w:r>
      <w:r w:rsidR="00816AD6" w:rsidRPr="00023D4D">
        <w:rPr>
          <w:rFonts w:eastAsia="Calibri"/>
          <w:sz w:val="28"/>
          <w:szCs w:val="28"/>
          <w:lang w:val="ro-RO"/>
        </w:rPr>
        <w:t>deoarece sintagma „</w:t>
      </w:r>
      <w:r w:rsidR="00816AD6" w:rsidRPr="00023D4D">
        <w:rPr>
          <w:rFonts w:eastAsia="Calibri"/>
          <w:i/>
          <w:sz w:val="28"/>
          <w:szCs w:val="28"/>
          <w:lang w:val="ro-RO"/>
        </w:rPr>
        <w:t>îndeplineşte în mod defectuos</w:t>
      </w:r>
      <w:r w:rsidR="00816AD6" w:rsidRPr="00023D4D">
        <w:rPr>
          <w:rFonts w:eastAsia="Calibri"/>
          <w:sz w:val="28"/>
          <w:szCs w:val="28"/>
          <w:lang w:val="ro-RO"/>
        </w:rPr>
        <w:t>”, din cuprinsul acestora, nu întruneşte condiţiile calitative impuse atât de Constituţie, cât şi de Convenţia pentru apărarea drepturilor omului şi a libertăţilor fundamentale, nefiind enunţată cu suficientă precizie pentru a se înțelege la ce dispoziții legale se raportează încălcarea atribuțiilor de serviciu. Astfel, Curtea a reţinut că defectuozitatea îndeplinirii unui act trebuie stabilită numai prin raportare la legea în domeniu.</w:t>
      </w:r>
    </w:p>
    <w:p w:rsidR="00D21726" w:rsidRPr="00023D4D" w:rsidRDefault="00D21726" w:rsidP="00816AD6">
      <w:pPr>
        <w:spacing w:line="360" w:lineRule="auto"/>
        <w:ind w:firstLine="720"/>
        <w:jc w:val="both"/>
        <w:rPr>
          <w:rFonts w:eastAsia="Calibri"/>
          <w:sz w:val="28"/>
          <w:szCs w:val="28"/>
          <w:lang w:val="ro-RO"/>
        </w:rPr>
      </w:pPr>
    </w:p>
    <w:p w:rsidR="00816AD6" w:rsidRPr="00023D4D" w:rsidRDefault="00816AD6" w:rsidP="00816AD6">
      <w:pPr>
        <w:spacing w:line="360" w:lineRule="auto"/>
        <w:ind w:firstLine="720"/>
        <w:jc w:val="both"/>
        <w:rPr>
          <w:rFonts w:eastAsia="Calibri"/>
          <w:sz w:val="28"/>
          <w:szCs w:val="28"/>
          <w:lang w:val="ro-RO"/>
        </w:rPr>
      </w:pPr>
    </w:p>
    <w:p w:rsidR="00B44B18" w:rsidRPr="00023D4D" w:rsidRDefault="004B0422" w:rsidP="002A611A">
      <w:pPr>
        <w:spacing w:line="360" w:lineRule="auto"/>
        <w:ind w:firstLine="708"/>
        <w:jc w:val="both"/>
        <w:rPr>
          <w:rFonts w:eastAsia="Calibri"/>
          <w:sz w:val="28"/>
          <w:szCs w:val="28"/>
          <w:lang w:val="ro-RO"/>
        </w:rPr>
      </w:pPr>
      <w:r w:rsidRPr="00023D4D">
        <w:rPr>
          <w:rFonts w:eastAsia="Calibri"/>
          <w:sz w:val="28"/>
          <w:szCs w:val="28"/>
          <w:lang w:val="ro-RO"/>
        </w:rPr>
        <w:lastRenderedPageBreak/>
        <w:t xml:space="preserve">Referitor la criticile formulate cu privire la </w:t>
      </w:r>
      <w:r w:rsidRPr="00023D4D">
        <w:rPr>
          <w:rFonts w:eastAsia="Calibri"/>
          <w:b/>
          <w:i/>
          <w:sz w:val="28"/>
          <w:szCs w:val="28"/>
          <w:lang w:val="ro-RO"/>
        </w:rPr>
        <w:t>lipsa unui prag valoric sau a intensității vătămării rezultate din comiterea faptei</w:t>
      </w:r>
      <w:r w:rsidRPr="00023D4D">
        <w:rPr>
          <w:rFonts w:eastAsia="Calibri"/>
          <w:sz w:val="28"/>
          <w:szCs w:val="28"/>
          <w:lang w:val="ro-RO"/>
        </w:rPr>
        <w:t xml:space="preserve">, </w:t>
      </w:r>
      <w:r w:rsidR="00B44B18" w:rsidRPr="00023D4D">
        <w:rPr>
          <w:rFonts w:eastAsia="Calibri"/>
          <w:sz w:val="28"/>
          <w:szCs w:val="28"/>
          <w:lang w:val="ro-RO"/>
        </w:rPr>
        <w:t xml:space="preserve">Curtea </w:t>
      </w:r>
      <w:r w:rsidR="0049330D" w:rsidRPr="00023D4D">
        <w:rPr>
          <w:rFonts w:eastAsia="Calibri"/>
          <w:sz w:val="28"/>
          <w:szCs w:val="28"/>
          <w:lang w:val="ro-RO"/>
        </w:rPr>
        <w:t>a reiterat</w:t>
      </w:r>
      <w:r w:rsidR="00B44B18" w:rsidRPr="00023D4D">
        <w:rPr>
          <w:rFonts w:eastAsia="Calibri"/>
          <w:sz w:val="28"/>
          <w:szCs w:val="28"/>
          <w:lang w:val="ro-RO"/>
        </w:rPr>
        <w:t xml:space="preserve"> considerentele Deciziei nr.405 din 15 iunie 2016, prin care a subliniat că revine legiuitorului sarcina de a reglementa valoarea pagubei şi gravitatea vătămării rezultate din comiterea faptei de ”</w:t>
      </w:r>
      <w:r w:rsidR="00B44B18" w:rsidRPr="00023D4D">
        <w:rPr>
          <w:rFonts w:eastAsia="Calibri"/>
          <w:i/>
          <w:sz w:val="28"/>
          <w:szCs w:val="28"/>
          <w:lang w:val="ro-RO"/>
        </w:rPr>
        <w:t>abuz în serviciu</w:t>
      </w:r>
      <w:r w:rsidR="00B44B18" w:rsidRPr="00023D4D">
        <w:rPr>
          <w:rFonts w:eastAsia="Calibri"/>
          <w:sz w:val="28"/>
          <w:szCs w:val="28"/>
          <w:lang w:val="ro-RO"/>
        </w:rPr>
        <w:t>”, cu aplicarea principiului "</w:t>
      </w:r>
      <w:r w:rsidR="00B44B18" w:rsidRPr="00023D4D">
        <w:rPr>
          <w:rFonts w:eastAsia="Calibri"/>
          <w:i/>
          <w:sz w:val="28"/>
          <w:szCs w:val="28"/>
          <w:lang w:val="ro-RO"/>
        </w:rPr>
        <w:t>ultima ratio</w:t>
      </w:r>
      <w:r w:rsidR="00B44B18" w:rsidRPr="00023D4D">
        <w:rPr>
          <w:rFonts w:eastAsia="Calibri"/>
          <w:sz w:val="28"/>
          <w:szCs w:val="28"/>
          <w:lang w:val="ro-RO"/>
        </w:rPr>
        <w:t xml:space="preserve">", astfel cum acesta a fost dezvoltat în doctrină și jurisprudență (inclusiv cea a Curții Constituționale), </w:t>
      </w:r>
      <w:r w:rsidR="00B44B18" w:rsidRPr="00023D4D">
        <w:rPr>
          <w:rFonts w:eastAsia="Calibri"/>
          <w:b/>
          <w:i/>
          <w:sz w:val="28"/>
          <w:szCs w:val="28"/>
          <w:lang w:val="ro-RO"/>
        </w:rPr>
        <w:t>aceste circumstanțieri fiind necesare delimitării răspunderii penale de celelalte forme de răspundere juridică</w:t>
      </w:r>
      <w:r w:rsidR="00B44B18" w:rsidRPr="00023D4D">
        <w:rPr>
          <w:rFonts w:eastAsia="Calibri"/>
          <w:sz w:val="28"/>
          <w:szCs w:val="28"/>
          <w:lang w:val="ro-RO"/>
        </w:rPr>
        <w:t>.</w:t>
      </w:r>
      <w:r w:rsidR="002A611A" w:rsidRPr="00023D4D">
        <w:rPr>
          <w:rFonts w:eastAsia="Calibri"/>
          <w:sz w:val="28"/>
          <w:szCs w:val="28"/>
          <w:lang w:val="ro-RO"/>
        </w:rPr>
        <w:t xml:space="preserve"> Totodată, </w:t>
      </w:r>
      <w:r w:rsidR="00B44B18" w:rsidRPr="00023D4D">
        <w:rPr>
          <w:rFonts w:eastAsia="Calibri"/>
          <w:sz w:val="28"/>
          <w:szCs w:val="28"/>
          <w:lang w:val="ro-RO"/>
        </w:rPr>
        <w:t xml:space="preserve">Curtea a reţinut că, dată fiind natura </w:t>
      </w:r>
      <w:r w:rsidR="00B44B18" w:rsidRPr="00023D4D">
        <w:rPr>
          <w:rFonts w:eastAsia="Calibri"/>
          <w:b/>
          <w:i/>
          <w:sz w:val="28"/>
          <w:szCs w:val="28"/>
          <w:lang w:val="ro-RO"/>
        </w:rPr>
        <w:t>omisiunii legislative</w:t>
      </w:r>
      <w:r w:rsidR="00B44B18" w:rsidRPr="00023D4D">
        <w:rPr>
          <w:rFonts w:eastAsia="Calibri"/>
          <w:sz w:val="28"/>
          <w:szCs w:val="28"/>
          <w:lang w:val="ro-RO"/>
        </w:rPr>
        <w:t xml:space="preserve"> relevate, instanța constituțională nu are competența de a complini acest viciu normativ, întrucât și-ar depăși atribuțiile legale, acționând în sfera de competență a legiuitorului primar sau delegat, aceasta fiind </w:t>
      </w:r>
      <w:r w:rsidR="00B44B18" w:rsidRPr="00023D4D">
        <w:rPr>
          <w:rFonts w:eastAsia="Calibri"/>
          <w:b/>
          <w:i/>
          <w:sz w:val="28"/>
          <w:szCs w:val="28"/>
          <w:lang w:val="ro-RO"/>
        </w:rPr>
        <w:t>singura autoritate care are obligația de a reglementa pragul valoric sau intensitatea vătămării</w:t>
      </w:r>
      <w:r w:rsidR="00B44B18" w:rsidRPr="00023D4D">
        <w:rPr>
          <w:rFonts w:eastAsia="Calibri"/>
          <w:sz w:val="28"/>
          <w:szCs w:val="28"/>
          <w:lang w:val="ro-RO"/>
        </w:rPr>
        <w:t xml:space="preserve"> rezultate din comiterea faptei în cuprinsul normelor penale referitoare la infracţiunea de abuz în serviciu.</w:t>
      </w:r>
      <w:r w:rsidR="000E32CD" w:rsidRPr="00023D4D">
        <w:rPr>
          <w:rFonts w:eastAsia="Calibri"/>
          <w:sz w:val="28"/>
          <w:szCs w:val="28"/>
          <w:lang w:val="ro-RO"/>
        </w:rPr>
        <w:t xml:space="preserve"> </w:t>
      </w:r>
    </w:p>
    <w:p w:rsidR="004D5A22" w:rsidRPr="00023D4D" w:rsidRDefault="004D5A22" w:rsidP="004D5A22">
      <w:pPr>
        <w:spacing w:line="360" w:lineRule="auto"/>
        <w:ind w:firstLine="708"/>
        <w:jc w:val="both"/>
        <w:rPr>
          <w:rFonts w:eastAsia="Calibri"/>
          <w:sz w:val="28"/>
          <w:szCs w:val="28"/>
          <w:lang w:val="ro-RO"/>
        </w:rPr>
      </w:pPr>
      <w:r w:rsidRPr="00023D4D">
        <w:rPr>
          <w:rFonts w:eastAsia="Calibri"/>
          <w:sz w:val="28"/>
          <w:szCs w:val="28"/>
          <w:lang w:val="ro-RO"/>
        </w:rPr>
        <w:t>În ceea ce priveşte infracţiunea prevăzută de dispoziţiile art.13</w:t>
      </w:r>
      <w:r w:rsidRPr="00023D4D">
        <w:rPr>
          <w:rFonts w:eastAsia="Calibri"/>
          <w:sz w:val="28"/>
          <w:szCs w:val="28"/>
          <w:vertAlign w:val="superscript"/>
          <w:lang w:val="ro-RO"/>
        </w:rPr>
        <w:t>2</w:t>
      </w:r>
      <w:r w:rsidRPr="00023D4D">
        <w:rPr>
          <w:rFonts w:eastAsia="Calibri"/>
          <w:sz w:val="28"/>
          <w:szCs w:val="28"/>
          <w:lang w:val="ro-RO"/>
        </w:rPr>
        <w:t xml:space="preserve"> din Legea nr.78/2000 pentru prevenirea, descoperirea şi sancţionarea faptelor de corupţie, Curtea a reţinut că aceasta constituie, astfel cum prevede şi titlul secţiunii din care face parte, o infracţiune asimilată celor de corupţie, prin modul în care a fost incriminată constituind o formă specială a infracţiunii de abuz în serviciu. Prin urmare, incidența infracţiunii prevăzute de dispoziţiile art.13</w:t>
      </w:r>
      <w:r w:rsidRPr="00023D4D">
        <w:rPr>
          <w:rFonts w:eastAsia="Calibri"/>
          <w:sz w:val="28"/>
          <w:szCs w:val="28"/>
          <w:vertAlign w:val="superscript"/>
          <w:lang w:val="ro-RO"/>
        </w:rPr>
        <w:t>2</w:t>
      </w:r>
      <w:r w:rsidRPr="00023D4D">
        <w:rPr>
          <w:rFonts w:eastAsia="Calibri"/>
          <w:sz w:val="28"/>
          <w:szCs w:val="28"/>
          <w:lang w:val="ro-RO"/>
        </w:rPr>
        <w:t xml:space="preserve"> din Legea nr. 78/2000 trebuie să se raporteze la dispoziţiile art.246 și art.248 din Codul penal din 1969 şi ale art. 297 alin. (1) din Codul penal astfel cum acestea au fost reconfigurate prin Decizia nr.405 din 15 iunie 2016 și prin prezenta decizie.</w:t>
      </w:r>
    </w:p>
    <w:p w:rsidR="00B44B18" w:rsidRPr="00023D4D" w:rsidRDefault="00B44B18" w:rsidP="00B44B18">
      <w:pPr>
        <w:spacing w:line="360" w:lineRule="auto"/>
        <w:ind w:firstLine="708"/>
        <w:jc w:val="both"/>
        <w:rPr>
          <w:rFonts w:eastAsia="Calibri"/>
          <w:sz w:val="28"/>
          <w:szCs w:val="28"/>
          <w:lang w:val="ro-RO"/>
        </w:rPr>
      </w:pPr>
      <w:r w:rsidRPr="00023D4D">
        <w:rPr>
          <w:rFonts w:eastAsia="Calibri"/>
          <w:sz w:val="28"/>
          <w:szCs w:val="28"/>
          <w:lang w:val="ro-RO"/>
        </w:rPr>
        <w:t xml:space="preserve">Decizia este definitivă și general obligatorie și se comunică celor două Camere ale Parlamentului, Guvernului și </w:t>
      </w:r>
      <w:r w:rsidR="002A611A" w:rsidRPr="00023D4D">
        <w:rPr>
          <w:rFonts w:eastAsia="Calibri"/>
          <w:sz w:val="28"/>
          <w:szCs w:val="28"/>
          <w:lang w:val="ro-RO"/>
        </w:rPr>
        <w:t xml:space="preserve">instanței de judecată care a sesizat Curtea Constituțională, respectiv </w:t>
      </w:r>
      <w:r w:rsidRPr="00023D4D">
        <w:rPr>
          <w:rFonts w:eastAsia="Calibri"/>
          <w:sz w:val="28"/>
          <w:szCs w:val="28"/>
          <w:lang w:val="ro-RO"/>
        </w:rPr>
        <w:t>Înaltei Curţi de Casaţie şi Justiţie - Secţia penală și se publică în Monitorul Oficial al României, Partea I.</w:t>
      </w:r>
    </w:p>
    <w:p w:rsidR="00B44B18" w:rsidRPr="00023D4D" w:rsidRDefault="00B44B18" w:rsidP="00B44B18">
      <w:pPr>
        <w:spacing w:line="360" w:lineRule="auto"/>
        <w:ind w:firstLine="720"/>
        <w:jc w:val="both"/>
        <w:rPr>
          <w:sz w:val="28"/>
          <w:szCs w:val="28"/>
          <w:lang w:val="ro-RO"/>
        </w:rPr>
      </w:pPr>
    </w:p>
    <w:p w:rsidR="008E15D6" w:rsidRPr="00023D4D" w:rsidRDefault="000C3F6F" w:rsidP="00023D4D">
      <w:pPr>
        <w:jc w:val="center"/>
        <w:rPr>
          <w:sz w:val="28"/>
          <w:szCs w:val="28"/>
          <w:lang w:val="ro-RO"/>
        </w:rPr>
      </w:pPr>
      <w:r w:rsidRPr="00023D4D">
        <w:rPr>
          <w:b/>
          <w:sz w:val="28"/>
          <w:szCs w:val="28"/>
          <w:lang w:val="ro-RO"/>
        </w:rPr>
        <w:t>Compartimentul Relații externe, relații cu presa şi protocol al Curții Constituționale</w:t>
      </w:r>
      <w:bookmarkStart w:id="5" w:name="_GoBack"/>
      <w:bookmarkEnd w:id="5"/>
    </w:p>
    <w:sectPr w:rsidR="008E15D6" w:rsidRPr="00023D4D">
      <w:pgSz w:w="11906" w:h="16838"/>
      <w:pgMar w:top="1440" w:right="991" w:bottom="993"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4C93" w:rsidRDefault="00124C93">
      <w:r>
        <w:separator/>
      </w:r>
    </w:p>
  </w:endnote>
  <w:endnote w:type="continuationSeparator" w:id="0">
    <w:p w:rsidR="00124C93" w:rsidRDefault="00124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4C93" w:rsidRDefault="00124C93">
      <w:r>
        <w:rPr>
          <w:color w:val="000000"/>
        </w:rPr>
        <w:separator/>
      </w:r>
    </w:p>
  </w:footnote>
  <w:footnote w:type="continuationSeparator" w:id="0">
    <w:p w:rsidR="00124C93" w:rsidRDefault="00124C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5D6"/>
    <w:rsid w:val="00023D4D"/>
    <w:rsid w:val="0002490F"/>
    <w:rsid w:val="000903AC"/>
    <w:rsid w:val="000C3F6F"/>
    <w:rsid w:val="000D44F1"/>
    <w:rsid w:val="000E32CD"/>
    <w:rsid w:val="00124C93"/>
    <w:rsid w:val="001A0CA9"/>
    <w:rsid w:val="002A3FE0"/>
    <w:rsid w:val="002A611A"/>
    <w:rsid w:val="002C068F"/>
    <w:rsid w:val="002F4C8E"/>
    <w:rsid w:val="003C3923"/>
    <w:rsid w:val="0040155E"/>
    <w:rsid w:val="00446D58"/>
    <w:rsid w:val="0049330D"/>
    <w:rsid w:val="004B0422"/>
    <w:rsid w:val="004D5A22"/>
    <w:rsid w:val="005A6298"/>
    <w:rsid w:val="005D20BF"/>
    <w:rsid w:val="005F6FBE"/>
    <w:rsid w:val="006B342D"/>
    <w:rsid w:val="007215AC"/>
    <w:rsid w:val="007F4AD6"/>
    <w:rsid w:val="00816AD6"/>
    <w:rsid w:val="008523F2"/>
    <w:rsid w:val="008C7592"/>
    <w:rsid w:val="008D31BA"/>
    <w:rsid w:val="008E15D6"/>
    <w:rsid w:val="00951AF6"/>
    <w:rsid w:val="009C2B9A"/>
    <w:rsid w:val="00A46294"/>
    <w:rsid w:val="00A5162B"/>
    <w:rsid w:val="00A618DC"/>
    <w:rsid w:val="00AA5653"/>
    <w:rsid w:val="00B44B18"/>
    <w:rsid w:val="00B825F5"/>
    <w:rsid w:val="00BF1E1E"/>
    <w:rsid w:val="00C343B4"/>
    <w:rsid w:val="00C95BA8"/>
    <w:rsid w:val="00D21726"/>
    <w:rsid w:val="00D46443"/>
    <w:rsid w:val="00DD394C"/>
    <w:rsid w:val="00E26884"/>
    <w:rsid w:val="00E309CB"/>
    <w:rsid w:val="00E32D8C"/>
    <w:rsid w:val="00EB256A"/>
    <w:rsid w:val="00F05413"/>
    <w:rsid w:val="00F9093F"/>
    <w:rsid w:val="00FC5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471EE4-C804-4E0E-9FB1-4722D63CB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o-RO" w:eastAsia="en-US" w:bidi="ar-SA"/>
      </w:rPr>
    </w:rPrDefault>
    <w:pPrDefault>
      <w:pPr>
        <w:autoSpaceDN w:val="0"/>
        <w:spacing w:after="16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after="0"/>
    </w:pPr>
    <w:rPr>
      <w:rFonts w:ascii="Times New Roman" w:eastAsia="Times New Roman" w:hAnsi="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rPr>
      <w:sz w:val="20"/>
      <w:szCs w:val="20"/>
    </w:rPr>
  </w:style>
  <w:style w:type="character" w:customStyle="1" w:styleId="FootnoteTextChar">
    <w:name w:val="Footnote Text Char"/>
    <w:basedOn w:val="DefaultParagraphFont"/>
    <w:rPr>
      <w:rFonts w:ascii="Times New Roman" w:eastAsia="Times New Roman" w:hAnsi="Times New Roman" w:cs="Times New Roman"/>
      <w:sz w:val="20"/>
      <w:szCs w:val="20"/>
      <w:lang w:val="en-US"/>
    </w:rPr>
  </w:style>
  <w:style w:type="character" w:styleId="FootnoteReference">
    <w:name w:val="footnote reference"/>
    <w:basedOn w:val="DefaultParagraphFont"/>
    <w:rPr>
      <w:position w:val="0"/>
      <w:vertAlign w:val="superscript"/>
    </w:rPr>
  </w:style>
  <w:style w:type="character" w:customStyle="1" w:styleId="doa1">
    <w:name w:val="do_a1"/>
    <w:rPr>
      <w:b/>
      <w:bCs/>
      <w:strike/>
      <w:color w:val="DC143C"/>
      <w:sz w:val="26"/>
      <w:szCs w:val="26"/>
    </w:rPr>
  </w:style>
  <w:style w:type="paragraph" w:styleId="NormalWeb">
    <w:name w:val="Normal (Web)"/>
    <w:basedOn w:val="Normal"/>
    <w:pPr>
      <w:suppressAutoHyphens w:val="0"/>
      <w:spacing w:before="100" w:after="100"/>
      <w:textAlignment w:val="auto"/>
    </w:pPr>
    <w:rPr>
      <w:rFonts w:ascii="Arial" w:hAnsi="Arial" w:cs="Arial"/>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eastAsia="Times New Roman" w:hAnsi="Segoe UI" w:cs="Segoe UI"/>
      <w:sz w:val="18"/>
      <w:szCs w:val="18"/>
      <w:lang w:val="en-US"/>
    </w:rPr>
  </w:style>
  <w:style w:type="paragraph" w:styleId="NoSpacing">
    <w:name w:val="No Spacing"/>
    <w:pPr>
      <w:spacing w:after="0"/>
      <w:textAlignment w:val="auto"/>
    </w:pPr>
    <w:rPr>
      <w:rFonts w:eastAsia="Times New Roman"/>
      <w:lang w:eastAsia="zh-CN"/>
    </w:rPr>
  </w:style>
  <w:style w:type="paragraph" w:customStyle="1" w:styleId="6Text">
    <w:name w:val="6.Text"/>
    <w:basedOn w:val="Normal"/>
    <w:pPr>
      <w:suppressAutoHyphens w:val="0"/>
      <w:ind w:firstLine="454"/>
      <w:jc w:val="both"/>
      <w:textAlignment w:val="auto"/>
    </w:pPr>
    <w:rPr>
      <w:rFonts w:ascii="Arial" w:hAnsi="Arial" w:cs="Arial"/>
      <w:sz w:val="20"/>
      <w:szCs w:val="20"/>
      <w:lang w:val="ro-RO"/>
    </w:rPr>
  </w:style>
  <w:style w:type="paragraph" w:customStyle="1" w:styleId="B13">
    <w:name w:val="B13"/>
    <w:pPr>
      <w:widowControl w:val="0"/>
      <w:autoSpaceDE w:val="0"/>
      <w:spacing w:after="0" w:line="220" w:lineRule="exact"/>
      <w:ind w:firstLine="737"/>
      <w:jc w:val="both"/>
      <w:textAlignment w:val="auto"/>
    </w:pPr>
    <w:rPr>
      <w:rFonts w:ascii="Times New Roman" w:eastAsia="Times New Roman" w:hAnsi="Times New Roman"/>
      <w:sz w:val="24"/>
      <w:szCs w:val="24"/>
      <w:lang w:eastAsia="ro-RO"/>
    </w:rPr>
  </w:style>
  <w:style w:type="character" w:customStyle="1" w:styleId="ar1">
    <w:name w:val="ar1"/>
    <w:basedOn w:val="DefaultParagraphFont"/>
    <w:rPr>
      <w:b/>
      <w:bCs/>
      <w:color w:val="0000AF"/>
      <w:sz w:val="22"/>
      <w:szCs w:val="22"/>
    </w:rPr>
  </w:style>
  <w:style w:type="character" w:customStyle="1" w:styleId="tar1">
    <w:name w:val="tar1"/>
    <w:basedOn w:val="DefaultParagraphFont"/>
    <w:rPr>
      <w:b/>
      <w:bCs/>
      <w:sz w:val="22"/>
      <w:szCs w:val="22"/>
    </w:rPr>
  </w:style>
  <w:style w:type="character" w:customStyle="1" w:styleId="al1">
    <w:name w:val="al1"/>
    <w:basedOn w:val="DefaultParagraphFont"/>
    <w:rPr>
      <w:b/>
      <w:bCs/>
      <w:color w:val="008F00"/>
    </w:rPr>
  </w:style>
  <w:style w:type="character" w:customStyle="1" w:styleId="tal1">
    <w:name w:val="tal1"/>
    <w:basedOn w:val="DefaultParagraphFont"/>
  </w:style>
  <w:style w:type="character" w:customStyle="1" w:styleId="li1">
    <w:name w:val="li1"/>
    <w:basedOn w:val="DefaultParagraphFont"/>
    <w:rPr>
      <w:b/>
      <w:bCs/>
      <w:color w:val="8F0000"/>
    </w:rPr>
  </w:style>
  <w:style w:type="character" w:customStyle="1" w:styleId="tli1">
    <w:name w:val="tli1"/>
    <w:basedOn w:val="DefaultParagraphFont"/>
  </w:style>
  <w:style w:type="character" w:styleId="Hyperlink">
    <w:name w:val="Hyperlink"/>
    <w:basedOn w:val="DefaultParagraphFont"/>
    <w:uiPriority w:val="99"/>
    <w:unhideWhenUsed/>
    <w:rsid w:val="005A6298"/>
    <w:rPr>
      <w:b/>
      <w:bCs/>
      <w:color w:val="333399"/>
      <w:u w:val="single"/>
    </w:rPr>
  </w:style>
  <w:style w:type="character" w:customStyle="1" w:styleId="tpa1">
    <w:name w:val="tpa1"/>
    <w:basedOn w:val="DefaultParagraphFont"/>
    <w:rsid w:val="005A6298"/>
  </w:style>
  <w:style w:type="character" w:customStyle="1" w:styleId="Mention">
    <w:name w:val="Mention"/>
    <w:basedOn w:val="DefaultParagraphFont"/>
    <w:uiPriority w:val="99"/>
    <w:semiHidden/>
    <w:unhideWhenUsed/>
    <w:rsid w:val="00816AD6"/>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612355">
      <w:bodyDiv w:val="1"/>
      <w:marLeft w:val="0"/>
      <w:marRight w:val="0"/>
      <w:marTop w:val="0"/>
      <w:marBottom w:val="0"/>
      <w:divBdr>
        <w:top w:val="none" w:sz="0" w:space="0" w:color="auto"/>
        <w:left w:val="none" w:sz="0" w:space="0" w:color="auto"/>
        <w:bottom w:val="none" w:sz="0" w:space="0" w:color="auto"/>
        <w:right w:val="none" w:sz="0" w:space="0" w:color="auto"/>
      </w:divBdr>
      <w:divsChild>
        <w:div w:id="450437940">
          <w:marLeft w:val="0"/>
          <w:marRight w:val="0"/>
          <w:marTop w:val="0"/>
          <w:marBottom w:val="0"/>
          <w:divBdr>
            <w:top w:val="none" w:sz="0" w:space="0" w:color="auto"/>
            <w:left w:val="none" w:sz="0" w:space="0" w:color="auto"/>
            <w:bottom w:val="none" w:sz="0" w:space="0" w:color="auto"/>
            <w:right w:val="none" w:sz="0" w:space="0" w:color="auto"/>
          </w:divBdr>
          <w:divsChild>
            <w:div w:id="1750610881">
              <w:marLeft w:val="0"/>
              <w:marRight w:val="0"/>
              <w:marTop w:val="0"/>
              <w:marBottom w:val="0"/>
              <w:divBdr>
                <w:top w:val="dashed" w:sz="2" w:space="0" w:color="FFFFFF"/>
                <w:left w:val="dashed" w:sz="2" w:space="0" w:color="FFFFFF"/>
                <w:bottom w:val="dashed" w:sz="2" w:space="0" w:color="FFFFFF"/>
                <w:right w:val="dashed" w:sz="2" w:space="0" w:color="FFFFFF"/>
              </w:divBdr>
              <w:divsChild>
                <w:div w:id="1521775382">
                  <w:marLeft w:val="0"/>
                  <w:marRight w:val="0"/>
                  <w:marTop w:val="0"/>
                  <w:marBottom w:val="0"/>
                  <w:divBdr>
                    <w:top w:val="dashed" w:sz="2" w:space="0" w:color="FFFFFF"/>
                    <w:left w:val="dashed" w:sz="2" w:space="0" w:color="FFFFFF"/>
                    <w:bottom w:val="dashed" w:sz="2" w:space="0" w:color="FFFFFF"/>
                    <w:right w:val="dashed" w:sz="2" w:space="0" w:color="FFFFFF"/>
                  </w:divBdr>
                </w:div>
                <w:div w:id="904532669">
                  <w:marLeft w:val="0"/>
                  <w:marRight w:val="0"/>
                  <w:marTop w:val="0"/>
                  <w:marBottom w:val="0"/>
                  <w:divBdr>
                    <w:top w:val="dashed" w:sz="2" w:space="0" w:color="FFFFFF"/>
                    <w:left w:val="dashed" w:sz="2" w:space="0" w:color="FFFFFF"/>
                    <w:bottom w:val="dashed" w:sz="2" w:space="0" w:color="FFFFFF"/>
                    <w:right w:val="dashed" w:sz="2" w:space="0" w:color="FFFFFF"/>
                  </w:divBdr>
                  <w:divsChild>
                    <w:div w:id="11499823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94926085">
      <w:bodyDiv w:val="1"/>
      <w:marLeft w:val="0"/>
      <w:marRight w:val="0"/>
      <w:marTop w:val="0"/>
      <w:marBottom w:val="0"/>
      <w:divBdr>
        <w:top w:val="none" w:sz="0" w:space="0" w:color="auto"/>
        <w:left w:val="none" w:sz="0" w:space="0" w:color="auto"/>
        <w:bottom w:val="none" w:sz="0" w:space="0" w:color="auto"/>
        <w:right w:val="none" w:sz="0" w:space="0" w:color="auto"/>
      </w:divBdr>
      <w:divsChild>
        <w:div w:id="1846167374">
          <w:marLeft w:val="0"/>
          <w:marRight w:val="0"/>
          <w:marTop w:val="0"/>
          <w:marBottom w:val="0"/>
          <w:divBdr>
            <w:top w:val="none" w:sz="0" w:space="0" w:color="auto"/>
            <w:left w:val="none" w:sz="0" w:space="0" w:color="auto"/>
            <w:bottom w:val="none" w:sz="0" w:space="0" w:color="auto"/>
            <w:right w:val="none" w:sz="0" w:space="0" w:color="auto"/>
          </w:divBdr>
          <w:divsChild>
            <w:div w:id="2145148187">
              <w:marLeft w:val="0"/>
              <w:marRight w:val="0"/>
              <w:marTop w:val="0"/>
              <w:marBottom w:val="0"/>
              <w:divBdr>
                <w:top w:val="dashed" w:sz="2" w:space="0" w:color="FFFFFF"/>
                <w:left w:val="dashed" w:sz="2" w:space="0" w:color="FFFFFF"/>
                <w:bottom w:val="dashed" w:sz="2" w:space="0" w:color="FFFFFF"/>
                <w:right w:val="dashed" w:sz="2" w:space="0" w:color="FFFFFF"/>
              </w:divBdr>
              <w:divsChild>
                <w:div w:id="1714306641">
                  <w:marLeft w:val="0"/>
                  <w:marRight w:val="0"/>
                  <w:marTop w:val="0"/>
                  <w:marBottom w:val="0"/>
                  <w:divBdr>
                    <w:top w:val="dashed" w:sz="2" w:space="0" w:color="FFFFFF"/>
                    <w:left w:val="dashed" w:sz="2" w:space="0" w:color="FFFFFF"/>
                    <w:bottom w:val="dashed" w:sz="2" w:space="0" w:color="FFFFFF"/>
                    <w:right w:val="dashed" w:sz="2" w:space="0" w:color="FFFFFF"/>
                  </w:divBdr>
                </w:div>
                <w:div w:id="1649281957">
                  <w:marLeft w:val="0"/>
                  <w:marRight w:val="0"/>
                  <w:marTop w:val="0"/>
                  <w:marBottom w:val="0"/>
                  <w:divBdr>
                    <w:top w:val="dashed" w:sz="2" w:space="0" w:color="FFFFFF"/>
                    <w:left w:val="dashed" w:sz="2" w:space="0" w:color="FFFFFF"/>
                    <w:bottom w:val="dashed" w:sz="2" w:space="0" w:color="FFFFFF"/>
                    <w:right w:val="dashed" w:sz="2" w:space="0" w:color="FFFFFF"/>
                  </w:divBdr>
                  <w:divsChild>
                    <w:div w:id="86776499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07500091">
                  <w:marLeft w:val="0"/>
                  <w:marRight w:val="0"/>
                  <w:marTop w:val="0"/>
                  <w:marBottom w:val="0"/>
                  <w:divBdr>
                    <w:top w:val="dashed" w:sz="2" w:space="0" w:color="FFFFFF"/>
                    <w:left w:val="dashed" w:sz="2" w:space="0" w:color="FFFFFF"/>
                    <w:bottom w:val="dashed" w:sz="2" w:space="0" w:color="FFFFFF"/>
                    <w:right w:val="dashed" w:sz="2" w:space="0" w:color="FFFFFF"/>
                  </w:divBdr>
                </w:div>
                <w:div w:id="1654411229">
                  <w:marLeft w:val="0"/>
                  <w:marRight w:val="0"/>
                  <w:marTop w:val="0"/>
                  <w:marBottom w:val="0"/>
                  <w:divBdr>
                    <w:top w:val="dashed" w:sz="2" w:space="0" w:color="FFFFFF"/>
                    <w:left w:val="dashed" w:sz="2" w:space="0" w:color="FFFFFF"/>
                    <w:bottom w:val="dashed" w:sz="2" w:space="0" w:color="FFFFFF"/>
                    <w:right w:val="dashed" w:sz="2" w:space="0" w:color="FFFFFF"/>
                  </w:divBdr>
                  <w:divsChild>
                    <w:div w:id="247888573">
                      <w:marLeft w:val="0"/>
                      <w:marRight w:val="0"/>
                      <w:marTop w:val="0"/>
                      <w:marBottom w:val="0"/>
                      <w:divBdr>
                        <w:top w:val="dashed" w:sz="2" w:space="0" w:color="FFFFFF"/>
                        <w:left w:val="dashed" w:sz="2" w:space="0" w:color="FFFFFF"/>
                        <w:bottom w:val="dashed" w:sz="2" w:space="0" w:color="FFFFFF"/>
                        <w:right w:val="dashed" w:sz="2" w:space="0" w:color="FFFFFF"/>
                      </w:divBdr>
                    </w:div>
                    <w:div w:id="71465334">
                      <w:marLeft w:val="0"/>
                      <w:marRight w:val="0"/>
                      <w:marTop w:val="0"/>
                      <w:marBottom w:val="0"/>
                      <w:divBdr>
                        <w:top w:val="dashed" w:sz="2" w:space="0" w:color="FFFFFF"/>
                        <w:left w:val="dashed" w:sz="2" w:space="0" w:color="FFFFFF"/>
                        <w:bottom w:val="dashed" w:sz="2" w:space="0" w:color="FFFFFF"/>
                        <w:right w:val="dashed" w:sz="2" w:space="0" w:color="FFFFFF"/>
                      </w:divBdr>
                      <w:divsChild>
                        <w:div w:id="1134637412">
                          <w:marLeft w:val="0"/>
                          <w:marRight w:val="0"/>
                          <w:marTop w:val="0"/>
                          <w:marBottom w:val="0"/>
                          <w:divBdr>
                            <w:top w:val="dashed" w:sz="2" w:space="0" w:color="FFFFFF"/>
                            <w:left w:val="dashed" w:sz="2" w:space="0" w:color="FFFFFF"/>
                            <w:bottom w:val="dashed" w:sz="2" w:space="0" w:color="FFFFFF"/>
                            <w:right w:val="dashed" w:sz="2" w:space="0" w:color="FFFFFF"/>
                          </w:divBdr>
                        </w:div>
                        <w:div w:id="1476289393">
                          <w:marLeft w:val="0"/>
                          <w:marRight w:val="0"/>
                          <w:marTop w:val="0"/>
                          <w:marBottom w:val="0"/>
                          <w:divBdr>
                            <w:top w:val="dashed" w:sz="2" w:space="0" w:color="FFFFFF"/>
                            <w:left w:val="dashed" w:sz="2" w:space="0" w:color="FFFFFF"/>
                            <w:bottom w:val="dashed" w:sz="2" w:space="0" w:color="FFFFFF"/>
                            <w:right w:val="dashed" w:sz="2" w:space="0" w:color="FFFFFF"/>
                          </w:divBdr>
                        </w:div>
                        <w:div w:id="378239531">
                          <w:marLeft w:val="0"/>
                          <w:marRight w:val="0"/>
                          <w:marTop w:val="0"/>
                          <w:marBottom w:val="0"/>
                          <w:divBdr>
                            <w:top w:val="dashed" w:sz="2" w:space="0" w:color="FFFFFF"/>
                            <w:left w:val="dashed" w:sz="2" w:space="0" w:color="FFFFFF"/>
                            <w:bottom w:val="dashed" w:sz="2" w:space="0" w:color="FFFFFF"/>
                            <w:right w:val="dashed" w:sz="2" w:space="0" w:color="FFFFFF"/>
                          </w:divBdr>
                        </w:div>
                        <w:div w:id="404431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197651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582489856">
      <w:bodyDiv w:val="1"/>
      <w:marLeft w:val="0"/>
      <w:marRight w:val="0"/>
      <w:marTop w:val="0"/>
      <w:marBottom w:val="0"/>
      <w:divBdr>
        <w:top w:val="none" w:sz="0" w:space="0" w:color="auto"/>
        <w:left w:val="none" w:sz="0" w:space="0" w:color="auto"/>
        <w:bottom w:val="none" w:sz="0" w:space="0" w:color="auto"/>
        <w:right w:val="none" w:sz="0" w:space="0" w:color="auto"/>
      </w:divBdr>
      <w:divsChild>
        <w:div w:id="2068912301">
          <w:marLeft w:val="0"/>
          <w:marRight w:val="0"/>
          <w:marTop w:val="0"/>
          <w:marBottom w:val="0"/>
          <w:divBdr>
            <w:top w:val="none" w:sz="0" w:space="0" w:color="auto"/>
            <w:left w:val="none" w:sz="0" w:space="0" w:color="auto"/>
            <w:bottom w:val="none" w:sz="0" w:space="0" w:color="auto"/>
            <w:right w:val="none" w:sz="0" w:space="0" w:color="auto"/>
          </w:divBdr>
          <w:divsChild>
            <w:div w:id="229466339">
              <w:marLeft w:val="0"/>
              <w:marRight w:val="0"/>
              <w:marTop w:val="0"/>
              <w:marBottom w:val="0"/>
              <w:divBdr>
                <w:top w:val="dashed" w:sz="2" w:space="0" w:color="FFFFFF"/>
                <w:left w:val="dashed" w:sz="2" w:space="0" w:color="FFFFFF"/>
                <w:bottom w:val="dashed" w:sz="2" w:space="0" w:color="FFFFFF"/>
                <w:right w:val="dashed" w:sz="2" w:space="0" w:color="FFFFFF"/>
              </w:divBdr>
              <w:divsChild>
                <w:div w:id="188033270">
                  <w:marLeft w:val="0"/>
                  <w:marRight w:val="0"/>
                  <w:marTop w:val="0"/>
                  <w:marBottom w:val="0"/>
                  <w:divBdr>
                    <w:top w:val="dashed" w:sz="2" w:space="0" w:color="FFFFFF"/>
                    <w:left w:val="dashed" w:sz="2" w:space="0" w:color="FFFFFF"/>
                    <w:bottom w:val="dashed" w:sz="2" w:space="0" w:color="FFFFFF"/>
                    <w:right w:val="dashed" w:sz="2" w:space="0" w:color="FFFFFF"/>
                  </w:divBdr>
                </w:div>
                <w:div w:id="881944944">
                  <w:marLeft w:val="0"/>
                  <w:marRight w:val="0"/>
                  <w:marTop w:val="0"/>
                  <w:marBottom w:val="0"/>
                  <w:divBdr>
                    <w:top w:val="dashed" w:sz="2" w:space="0" w:color="FFFFFF"/>
                    <w:left w:val="dashed" w:sz="2" w:space="0" w:color="FFFFFF"/>
                    <w:bottom w:val="dashed" w:sz="2" w:space="0" w:color="FFFFFF"/>
                    <w:right w:val="dashed" w:sz="2" w:space="0" w:color="FFFFFF"/>
                  </w:divBdr>
                  <w:divsChild>
                    <w:div w:id="1771777894">
                      <w:marLeft w:val="0"/>
                      <w:marRight w:val="0"/>
                      <w:marTop w:val="0"/>
                      <w:marBottom w:val="0"/>
                      <w:divBdr>
                        <w:top w:val="dashed" w:sz="2" w:space="0" w:color="FFFFFF"/>
                        <w:left w:val="dashed" w:sz="2" w:space="0" w:color="FFFFFF"/>
                        <w:bottom w:val="dashed" w:sz="2" w:space="0" w:color="FFFFFF"/>
                        <w:right w:val="dashed" w:sz="2" w:space="0" w:color="FFFFFF"/>
                      </w:divBdr>
                    </w:div>
                    <w:div w:id="2103908969">
                      <w:marLeft w:val="0"/>
                      <w:marRight w:val="0"/>
                      <w:marTop w:val="0"/>
                      <w:marBottom w:val="0"/>
                      <w:divBdr>
                        <w:top w:val="dashed" w:sz="2" w:space="0" w:color="FFFFFF"/>
                        <w:left w:val="dashed" w:sz="2" w:space="0" w:color="FFFFFF"/>
                        <w:bottom w:val="dashed" w:sz="2" w:space="0" w:color="FFFFFF"/>
                        <w:right w:val="dashed" w:sz="2" w:space="0" w:color="FFFFFF"/>
                      </w:divBdr>
                    </w:div>
                    <w:div w:id="8620927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4563675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0.w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file:///C:\Users\Claudia\sintact%204.0\cache\Legislatie\temp1445246\00124086.htm" TargetMode="External"/><Relationship Id="rId5" Type="http://schemas.openxmlformats.org/officeDocument/2006/relationships/endnotes" Target="endnotes.xml"/><Relationship Id="rId10" Type="http://schemas.openxmlformats.org/officeDocument/2006/relationships/hyperlink" Target="file:///C:\Users\Claudia\sintact%204.0\cache\Legislatie\temp1445246\00015710.htm" TargetMode="External"/><Relationship Id="rId4" Type="http://schemas.openxmlformats.org/officeDocument/2006/relationships/footnotes" Target="footnote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951</Words>
  <Characters>5426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ionita</dc:creator>
  <dc:description/>
  <cp:lastModifiedBy>Cosmina</cp:lastModifiedBy>
  <cp:revision>19</cp:revision>
  <cp:lastPrinted>2017-06-06T13:23:00Z</cp:lastPrinted>
  <dcterms:created xsi:type="dcterms:W3CDTF">2017-06-06T12:37:00Z</dcterms:created>
  <dcterms:modified xsi:type="dcterms:W3CDTF">2017-06-06T13:45:00Z</dcterms:modified>
</cp:coreProperties>
</file>